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391308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6725BC" w:rsidRPr="00391308">
        <w:rPr>
          <w:rFonts w:ascii="Arial" w:hAnsi="Arial" w:cs="Arial"/>
          <w:b/>
          <w:bCs/>
          <w:color w:val="FFFFFF"/>
          <w:sz w:val="32"/>
          <w:szCs w:val="32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91308">
        <w:rPr>
          <w:rFonts w:ascii="Arial" w:hAnsi="Arial" w:cs="Arial"/>
          <w:b/>
          <w:sz w:val="26"/>
          <w:szCs w:val="26"/>
          <w:lang w:eastAsia="en-US" w:bidi="en-US"/>
        </w:rPr>
        <w:t>XIX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391308">
        <w:rPr>
          <w:rFonts w:ascii="Arial" w:hAnsi="Arial" w:cs="Arial"/>
          <w:sz w:val="20"/>
          <w:szCs w:val="20"/>
          <w:lang w:eastAsia="en-US" w:bidi="en-US"/>
        </w:rPr>
        <w:t xml:space="preserve">6. 2. 2015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8F7B4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8F7B4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sz w:val="20"/>
          <w:szCs w:val="20"/>
        </w:rPr>
        <w:t>:</w:t>
      </w:r>
    </w:p>
    <w:p w:rsidR="00391308" w:rsidRPr="00391308" w:rsidRDefault="00391308" w:rsidP="0039130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91308">
        <w:rPr>
          <w:rFonts w:ascii="Arial" w:hAnsi="Arial" w:cs="Arial"/>
          <w:sz w:val="20"/>
          <w:szCs w:val="20"/>
        </w:rPr>
        <w:t xml:space="preserve">V Příloze č. 6 – Funkční a technické požadavky, kapitola 2.5.2.2 Vzdělávání administrátorů a správců, přeškolování existujících na základě požadavku Zadavatele, požadujete zajištění kapacity v minimálním rozsahu 14 MD za jeden kalendářní měsíc IS IP JIS. </w:t>
      </w:r>
    </w:p>
    <w:p w:rsidR="001809A5" w:rsidRPr="00391308" w:rsidRDefault="00391308" w:rsidP="0039130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391308">
        <w:rPr>
          <w:rFonts w:ascii="Arial" w:hAnsi="Arial" w:cs="Arial"/>
          <w:sz w:val="20"/>
          <w:szCs w:val="20"/>
        </w:rPr>
        <w:t>Je tím míněno, že každý měsíc poskytování podpory musí Uchazeč zajistit kapacitu na poskytování služeb školení 14 MD?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B0FD0" w:rsidRDefault="001B0FD0" w:rsidP="001B0FD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B326B">
        <w:rPr>
          <w:rFonts w:ascii="Arial" w:hAnsi="Arial" w:cs="Arial"/>
          <w:sz w:val="20"/>
          <w:szCs w:val="20"/>
        </w:rPr>
        <w:t xml:space="preserve">Zadavatel </w:t>
      </w:r>
      <w:r w:rsidR="00EC6DA1">
        <w:rPr>
          <w:rFonts w:ascii="Arial" w:hAnsi="Arial" w:cs="Arial"/>
          <w:sz w:val="20"/>
          <w:szCs w:val="20"/>
        </w:rPr>
        <w:t>trvá na požadavku</w:t>
      </w:r>
      <w:r w:rsidRPr="003B326B">
        <w:rPr>
          <w:rFonts w:ascii="Arial" w:hAnsi="Arial" w:cs="Arial"/>
          <w:sz w:val="20"/>
          <w:szCs w:val="20"/>
        </w:rPr>
        <w:t xml:space="preserve"> </w:t>
      </w:r>
      <w:r w:rsidR="00EC6DA1">
        <w:rPr>
          <w:rFonts w:ascii="Arial" w:hAnsi="Arial" w:cs="Arial"/>
          <w:sz w:val="20"/>
          <w:szCs w:val="20"/>
        </w:rPr>
        <w:t>„</w:t>
      </w:r>
      <w:r w:rsidR="00EC6DA1" w:rsidRPr="00391308">
        <w:rPr>
          <w:rFonts w:ascii="Arial" w:hAnsi="Arial" w:cs="Arial"/>
          <w:sz w:val="20"/>
          <w:szCs w:val="20"/>
        </w:rPr>
        <w:t>Vzdělávání administrátorů a správců</w:t>
      </w:r>
      <w:r w:rsidR="00EC6DA1">
        <w:rPr>
          <w:rFonts w:ascii="Arial" w:hAnsi="Arial" w:cs="Arial"/>
          <w:sz w:val="20"/>
          <w:szCs w:val="20"/>
        </w:rPr>
        <w:t xml:space="preserve">“ </w:t>
      </w:r>
      <w:r w:rsidRPr="003B326B">
        <w:rPr>
          <w:rFonts w:ascii="Arial" w:hAnsi="Arial" w:cs="Arial"/>
          <w:sz w:val="20"/>
          <w:szCs w:val="20"/>
        </w:rPr>
        <w:t>v</w:t>
      </w:r>
      <w:r w:rsidR="00EC6DA1">
        <w:rPr>
          <w:rFonts w:ascii="Arial" w:hAnsi="Arial" w:cs="Arial"/>
          <w:sz w:val="20"/>
          <w:szCs w:val="20"/>
        </w:rPr>
        <w:t xml:space="preserve"> rozsahu </w:t>
      </w:r>
      <w:r w:rsidRPr="003B326B">
        <w:rPr>
          <w:rFonts w:ascii="Arial" w:hAnsi="Arial" w:cs="Arial"/>
          <w:sz w:val="20"/>
          <w:szCs w:val="20"/>
        </w:rPr>
        <w:t>14MD měsíčně</w:t>
      </w:r>
      <w:r w:rsidR="00EC6DA1">
        <w:rPr>
          <w:rFonts w:ascii="Arial" w:hAnsi="Arial" w:cs="Arial"/>
          <w:sz w:val="20"/>
          <w:szCs w:val="20"/>
        </w:rPr>
        <w:t>, nevyčerpané MD budou</w:t>
      </w:r>
      <w:r w:rsidRPr="003B326B">
        <w:rPr>
          <w:rFonts w:ascii="Arial" w:hAnsi="Arial" w:cs="Arial"/>
          <w:sz w:val="20"/>
          <w:szCs w:val="20"/>
        </w:rPr>
        <w:t xml:space="preserve"> převedeny do dalšího období.</w:t>
      </w:r>
      <w:r w:rsidRPr="003B326B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>Zadavatel dále odkazuje Uchazeče na odpověď č. 1 v rámci Dodatečných informací č. VIII.</w:t>
      </w:r>
    </w:p>
    <w:p w:rsidR="001B0FD0" w:rsidRPr="00C543B9" w:rsidRDefault="001B0FD0" w:rsidP="001809A5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8F7B4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8F7B4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1809A5" w:rsidRPr="00040199" w:rsidRDefault="00391308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91308">
        <w:rPr>
          <w:rFonts w:ascii="Arial" w:hAnsi="Arial" w:cs="Arial"/>
          <w:sz w:val="20"/>
          <w:szCs w:val="20"/>
          <w:lang w:eastAsia="en-US" w:bidi="en-US"/>
        </w:rPr>
        <w:t>Kde budou uskladněny mobilní stanice, předané Zadavateli v rámci dodávky a používané na školení (Příloha č. 6 – Funkční a technické požadavky, kapitola 2.5.2.3), a kdo je bude spravovat?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809A5" w:rsidRPr="00040199" w:rsidRDefault="00EC6DA1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Mobilní stanice budou ve vlastnictví Zadavatele, který je bude také spravovat. Způsob a místo jejich uskladnění je pro účely přípravy nabídky irelevantní.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8F7B4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8F7B4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:rsidR="00391308" w:rsidRPr="00391308" w:rsidRDefault="00391308" w:rsidP="0039130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91308">
        <w:rPr>
          <w:rFonts w:ascii="Arial" w:hAnsi="Arial" w:cs="Arial"/>
          <w:sz w:val="20"/>
          <w:szCs w:val="20"/>
          <w:lang w:eastAsia="en-US" w:bidi="en-US"/>
        </w:rPr>
        <w:t>Dotazy k příloze č. 8 ZD</w:t>
      </w:r>
    </w:p>
    <w:p w:rsidR="00391308" w:rsidRDefault="00391308" w:rsidP="00391308">
      <w:pPr>
        <w:numPr>
          <w:ilvl w:val="0"/>
          <w:numId w:val="33"/>
        </w:numPr>
        <w:spacing w:before="120" w:after="120" w:line="320" w:lineRule="atLeast"/>
        <w:ind w:left="851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91308">
        <w:rPr>
          <w:rFonts w:ascii="Arial" w:hAnsi="Arial" w:cs="Arial"/>
          <w:sz w:val="20"/>
          <w:szCs w:val="20"/>
          <w:lang w:eastAsia="en-US" w:bidi="en-US"/>
        </w:rPr>
        <w:t>Uchazeč se v rámci dodatečných informací č. XII v dotazu č. 1 ptal zadavatele, co je myšleno větou „ ... včetně uvedení odkazu na konkrétní kód požadavku zadavatele.“ uvedenou v bodu 2.2 této přílohy. Může zadavatel odpovědět?</w:t>
      </w:r>
    </w:p>
    <w:p w:rsidR="001809A5" w:rsidRPr="00391308" w:rsidRDefault="00391308" w:rsidP="00391308">
      <w:pPr>
        <w:numPr>
          <w:ilvl w:val="0"/>
          <w:numId w:val="33"/>
        </w:numPr>
        <w:spacing w:before="120" w:after="120" w:line="320" w:lineRule="atLeast"/>
        <w:ind w:left="851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91308">
        <w:rPr>
          <w:rFonts w:ascii="Arial" w:hAnsi="Arial" w:cs="Arial"/>
          <w:sz w:val="20"/>
          <w:szCs w:val="20"/>
          <w:lang w:eastAsia="en-US" w:bidi="en-US"/>
        </w:rPr>
        <w:t>Příloha č. 8 ZD obsahuje na str. 3 tento text: „Popis návrhu řešení bude zpracován v daném počtu kapitol při zachování níže uvedených názvů dle obsahového členění podle požadavků uvedených v tabulce níže, zejména ve třetím sloupci. V rámci jednotlivých kapitol uvede dodavatel návrh svého řešení/postupu, a to s uvedením požadovaného obsahu dle tabulky níže při zohlednění všech požadavků definovaných v těchto zadávacích podmínkách.“ Uchazeči se, i přes zvýšené úsilí, nepodařilo zmíněnou tabulku nalézt, a tudíž nenašel ani požadavky uvedené ve třetím sloupci. Může zadavatel doplnit do zadání výše zmíněnou tabulku, aby uchazeč mohl zpracovat nabídku v souladu se zadáním?</w:t>
      </w:r>
    </w:p>
    <w:p w:rsidR="001809A5" w:rsidRPr="00040199" w:rsidRDefault="001809A5" w:rsidP="00D4661D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:rsidR="001B0FD0" w:rsidRDefault="001B0FD0" w:rsidP="00D4661D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znovu odkazuje Uchazeče na odpověď č.2 v rámci Dodatečných informací č. IV, kde zcela jednoznačně </w:t>
      </w:r>
      <w:r w:rsidR="00E5074C">
        <w:rPr>
          <w:rFonts w:ascii="Arial" w:hAnsi="Arial" w:cs="Arial"/>
          <w:sz w:val="20"/>
          <w:szCs w:val="20"/>
          <w:lang w:eastAsia="en-US" w:bidi="en-US"/>
        </w:rPr>
        <w:t>upřesnil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požadavky Zadavatele na</w:t>
      </w:r>
      <w:r w:rsidR="00E5074C">
        <w:rPr>
          <w:rFonts w:ascii="Arial" w:hAnsi="Arial" w:cs="Arial"/>
          <w:sz w:val="20"/>
          <w:szCs w:val="20"/>
          <w:lang w:eastAsia="en-US" w:bidi="en-US"/>
        </w:rPr>
        <w:t xml:space="preserve"> způsob </w:t>
      </w:r>
      <w:r>
        <w:rPr>
          <w:rFonts w:ascii="Arial" w:hAnsi="Arial" w:cs="Arial"/>
          <w:sz w:val="20"/>
          <w:szCs w:val="20"/>
          <w:lang w:eastAsia="en-US" w:bidi="en-US"/>
        </w:rPr>
        <w:t>zpracování Popisu návrhu řešení.</w:t>
      </w:r>
    </w:p>
    <w:p w:rsidR="001809A5" w:rsidRDefault="001B0FD0" w:rsidP="00E5074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Konkrétně k dotazům Uchazeče (a i b) Zadavatel uvádí, že odkazy na kód požadavku a odkazy na tabulku </w:t>
      </w:r>
      <w:r w:rsidR="00E5074C">
        <w:rPr>
          <w:rFonts w:ascii="Arial" w:hAnsi="Arial" w:cs="Arial"/>
          <w:sz w:val="20"/>
          <w:szCs w:val="20"/>
          <w:lang w:eastAsia="en-US" w:bidi="en-US"/>
        </w:rPr>
        <w:t>nejsou požadovány.</w:t>
      </w:r>
    </w:p>
    <w:p w:rsidR="00E5074C" w:rsidRPr="00040199" w:rsidRDefault="00E5074C" w:rsidP="00E5074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040199" w:rsidRDefault="001809A5" w:rsidP="00391308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 w:rsidR="008F7B44"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="008F7B44">
        <w:rPr>
          <w:rFonts w:ascii="Arial" w:hAnsi="Arial" w:cs="Arial"/>
          <w:b/>
          <w:sz w:val="20"/>
          <w:szCs w:val="20"/>
        </w:rPr>
        <w:fldChar w:fldCharType="end"/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:rsidR="00391308" w:rsidRPr="00391308" w:rsidRDefault="00391308" w:rsidP="00391308">
      <w:pPr>
        <w:keepNext/>
        <w:spacing w:before="120" w:after="120" w:line="32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91308">
        <w:rPr>
          <w:rFonts w:ascii="Arial" w:eastAsia="Calibri" w:hAnsi="Arial" w:cs="Arial"/>
          <w:sz w:val="20"/>
          <w:szCs w:val="20"/>
          <w:lang w:eastAsia="en-US"/>
        </w:rPr>
        <w:t>V Dodatečných informacích č. VI, Dotaz 17 uvádíte, že Poskytovatel je plně odpovědný i za vyřešení incidentů třetích stran, přičemž za třetí strany lze považovat osoby, jejichž plnění poskytuje zadavatel v rámci své součinnosti (např. dodavatelé elektrické energie), popř., které nejsou ve smluvním vztahu k žádné ze stran.</w:t>
      </w:r>
    </w:p>
    <w:p w:rsidR="001809A5" w:rsidRPr="00040199" w:rsidRDefault="00391308" w:rsidP="0039130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391308">
        <w:rPr>
          <w:rFonts w:ascii="Arial" w:hAnsi="Arial" w:cs="Arial"/>
          <w:sz w:val="20"/>
          <w:szCs w:val="20"/>
          <w:lang w:eastAsia="en-US"/>
        </w:rPr>
        <w:t>Vysvětlete prosím, jak může být poskytovatel odpovědný za incidenty, které způsobí jiný dodavatel, se kterým má smluvní vztah pouze Zadavatel (např. dodavatel elektrické energie nebo poskytovatel infrastruktury). V případě, že nebude funkční infrastruktura, nemůže Poskytovatel provozovat svůj systém a nemá žádnou možnost tuto skutečnost ovlivnit.</w:t>
      </w:r>
    </w:p>
    <w:p w:rsidR="001809A5" w:rsidRPr="00040199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FF0538" w:rsidRDefault="00516DC8" w:rsidP="00E5074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Zadavatel si dovoluje </w:t>
      </w:r>
      <w:r w:rsidR="002F5954">
        <w:rPr>
          <w:rFonts w:ascii="Arial" w:hAnsi="Arial" w:cs="Arial"/>
          <w:sz w:val="20"/>
          <w:szCs w:val="20"/>
          <w:lang w:eastAsia="en-US"/>
        </w:rPr>
        <w:t xml:space="preserve">odkázat na informace </w:t>
      </w:r>
      <w:r w:rsidR="00EF658B">
        <w:rPr>
          <w:rFonts w:ascii="Arial" w:hAnsi="Arial" w:cs="Arial"/>
          <w:sz w:val="20"/>
          <w:szCs w:val="20"/>
          <w:lang w:eastAsia="en-US"/>
        </w:rPr>
        <w:t>obsažené v</w:t>
      </w:r>
      <w:r>
        <w:rPr>
          <w:rFonts w:ascii="Arial" w:hAnsi="Arial" w:cs="Arial"/>
          <w:sz w:val="20"/>
          <w:szCs w:val="20"/>
          <w:lang w:eastAsia="en-US"/>
        </w:rPr>
        <w:t xml:space="preserve"> odpověd</w:t>
      </w:r>
      <w:r w:rsidR="007561CC">
        <w:rPr>
          <w:rFonts w:ascii="Arial" w:hAnsi="Arial" w:cs="Arial"/>
          <w:sz w:val="20"/>
          <w:szCs w:val="20"/>
          <w:lang w:eastAsia="en-US"/>
        </w:rPr>
        <w:t>ích</w:t>
      </w:r>
      <w:r>
        <w:rPr>
          <w:rFonts w:ascii="Arial" w:hAnsi="Arial" w:cs="Arial"/>
          <w:sz w:val="20"/>
          <w:szCs w:val="20"/>
          <w:lang w:eastAsia="en-US"/>
        </w:rPr>
        <w:t xml:space="preserve"> na dotazy č. </w:t>
      </w:r>
      <w:r w:rsidR="009655BB">
        <w:rPr>
          <w:rFonts w:ascii="Arial" w:hAnsi="Arial" w:cs="Arial"/>
          <w:sz w:val="20"/>
          <w:szCs w:val="20"/>
          <w:lang w:eastAsia="en-US"/>
        </w:rPr>
        <w:t xml:space="preserve">17 a </w:t>
      </w:r>
      <w:r>
        <w:rPr>
          <w:rFonts w:ascii="Arial" w:hAnsi="Arial" w:cs="Arial"/>
          <w:sz w:val="20"/>
          <w:szCs w:val="20"/>
          <w:lang w:eastAsia="en-US"/>
        </w:rPr>
        <w:t>23</w:t>
      </w:r>
      <w:r w:rsidR="007561CC">
        <w:rPr>
          <w:rFonts w:ascii="Arial" w:hAnsi="Arial" w:cs="Arial"/>
          <w:sz w:val="20"/>
          <w:szCs w:val="20"/>
          <w:lang w:eastAsia="en-US"/>
        </w:rPr>
        <w:t>,</w:t>
      </w:r>
      <w:r>
        <w:rPr>
          <w:rFonts w:ascii="Arial" w:hAnsi="Arial" w:cs="Arial"/>
          <w:sz w:val="20"/>
          <w:szCs w:val="20"/>
          <w:lang w:eastAsia="en-US"/>
        </w:rPr>
        <w:t xml:space="preserve"> poskytnut</w:t>
      </w:r>
      <w:r w:rsidR="007561CC">
        <w:rPr>
          <w:rFonts w:ascii="Arial" w:hAnsi="Arial" w:cs="Arial"/>
          <w:sz w:val="20"/>
          <w:szCs w:val="20"/>
          <w:lang w:eastAsia="en-US"/>
        </w:rPr>
        <w:t>ých</w:t>
      </w:r>
      <w:r>
        <w:rPr>
          <w:rFonts w:ascii="Arial" w:hAnsi="Arial" w:cs="Arial"/>
          <w:sz w:val="20"/>
          <w:szCs w:val="20"/>
          <w:lang w:eastAsia="en-US"/>
        </w:rPr>
        <w:t xml:space="preserve"> v rámci Dodatečných informací č. XII</w:t>
      </w:r>
      <w:r w:rsidR="007D278F">
        <w:rPr>
          <w:rFonts w:ascii="Arial" w:hAnsi="Arial" w:cs="Arial"/>
          <w:sz w:val="20"/>
          <w:szCs w:val="20"/>
          <w:lang w:eastAsia="en-US"/>
        </w:rPr>
        <w:t>, v nichž zadavatel uvedl následující</w:t>
      </w:r>
      <w:r>
        <w:rPr>
          <w:rFonts w:ascii="Arial" w:hAnsi="Arial" w:cs="Arial"/>
          <w:sz w:val="20"/>
          <w:szCs w:val="20"/>
          <w:lang w:eastAsia="en-US"/>
        </w:rPr>
        <w:t>:</w:t>
      </w:r>
    </w:p>
    <w:p w:rsidR="00652E37" w:rsidRPr="00E5074C" w:rsidRDefault="00652E37" w:rsidP="00E5074C">
      <w:pPr>
        <w:pStyle w:val="Odstavecseseznamem"/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E5074C">
        <w:rPr>
          <w:rFonts w:ascii="Arial" w:hAnsi="Arial" w:cs="Arial"/>
          <w:sz w:val="20"/>
          <w:szCs w:val="20"/>
          <w:lang w:eastAsia="en-US"/>
        </w:rPr>
        <w:t xml:space="preserve">součástí </w:t>
      </w:r>
      <w:r w:rsidRPr="00E5074C">
        <w:rPr>
          <w:rFonts w:ascii="Arial" w:hAnsi="Arial" w:cs="Arial"/>
          <w:b/>
          <w:sz w:val="20"/>
          <w:szCs w:val="20"/>
          <w:lang w:eastAsia="en-US"/>
        </w:rPr>
        <w:t xml:space="preserve">Služeb podpory provozu </w:t>
      </w:r>
      <w:r w:rsidR="005A35B5" w:rsidRPr="00E5074C">
        <w:rPr>
          <w:rFonts w:ascii="Arial" w:hAnsi="Arial" w:cs="Arial"/>
          <w:b/>
          <w:sz w:val="20"/>
          <w:szCs w:val="20"/>
          <w:lang w:eastAsia="en-US"/>
        </w:rPr>
        <w:t xml:space="preserve">je </w:t>
      </w:r>
      <w:r w:rsidR="00400E72" w:rsidRPr="00E5074C">
        <w:rPr>
          <w:rFonts w:ascii="Arial" w:hAnsi="Arial" w:cs="Arial"/>
          <w:b/>
          <w:sz w:val="20"/>
          <w:szCs w:val="20"/>
          <w:lang w:eastAsia="en-US"/>
        </w:rPr>
        <w:t>o</w:t>
      </w:r>
      <w:r w:rsidRPr="00E5074C">
        <w:rPr>
          <w:rFonts w:ascii="Arial" w:hAnsi="Arial" w:cs="Arial"/>
          <w:b/>
          <w:sz w:val="20"/>
          <w:szCs w:val="20"/>
          <w:lang w:eastAsia="en-US"/>
        </w:rPr>
        <w:t>dstraňování chyb systému</w:t>
      </w:r>
      <w:r w:rsidRPr="00E5074C">
        <w:rPr>
          <w:rFonts w:ascii="Arial" w:hAnsi="Arial" w:cs="Arial"/>
          <w:sz w:val="20"/>
          <w:szCs w:val="20"/>
          <w:lang w:eastAsia="en-US"/>
        </w:rPr>
        <w:t xml:space="preserve"> způsobených administrátory nebo uživateli Poskytovatele, přičemž </w:t>
      </w:r>
      <w:r w:rsidRPr="00E5074C">
        <w:rPr>
          <w:rFonts w:ascii="Arial" w:hAnsi="Arial" w:cs="Arial"/>
          <w:b/>
          <w:sz w:val="20"/>
          <w:szCs w:val="20"/>
          <w:lang w:eastAsia="en-US"/>
        </w:rPr>
        <w:t>za vyřešení incidentů třetích stran je Poskytovatel plně odpovědný</w:t>
      </w:r>
      <w:r w:rsidRPr="00E5074C">
        <w:rPr>
          <w:rFonts w:ascii="Arial" w:hAnsi="Arial" w:cs="Arial"/>
          <w:sz w:val="20"/>
          <w:szCs w:val="20"/>
          <w:lang w:eastAsia="en-US"/>
        </w:rPr>
        <w:t>;</w:t>
      </w:r>
    </w:p>
    <w:p w:rsidR="00652E37" w:rsidRDefault="00652E37" w:rsidP="00E5074C">
      <w:pPr>
        <w:pStyle w:val="Odstavecseseznamem"/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E5074C">
        <w:rPr>
          <w:rFonts w:ascii="Arial" w:hAnsi="Arial" w:cs="Arial"/>
          <w:sz w:val="20"/>
          <w:szCs w:val="20"/>
          <w:lang w:eastAsia="en-US"/>
        </w:rPr>
        <w:t xml:space="preserve">za třetí strany lze považovat pouze osoby, jejichž plnění poskytuje zadavatel v rámci své součinnosti (např. dodavatelé elektrické energie), popř. které nejsou ve smluvním vztahu k žádné ze stran. </w:t>
      </w:r>
    </w:p>
    <w:p w:rsidR="009655BB" w:rsidRPr="009655BB" w:rsidRDefault="009655BB" w:rsidP="00E5074C">
      <w:pPr>
        <w:pStyle w:val="Odstavecseseznamem"/>
        <w:numPr>
          <w:ilvl w:val="0"/>
          <w:numId w:val="34"/>
        </w:num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 w:rsidRPr="00560AB6">
        <w:rPr>
          <w:rFonts w:ascii="Arial" w:hAnsi="Arial" w:cs="Arial"/>
          <w:b/>
          <w:sz w:val="20"/>
          <w:szCs w:val="20"/>
          <w:lang w:eastAsia="en-US"/>
        </w:rPr>
        <w:t>pokud byl incident způsoben prokazatelně třetí stranou, do doby nedostupnosti se nezapočítává</w:t>
      </w:r>
      <w:r w:rsidRPr="00E5074C">
        <w:rPr>
          <w:rFonts w:ascii="Arial" w:hAnsi="Arial" w:cs="Arial"/>
          <w:sz w:val="20"/>
          <w:szCs w:val="20"/>
          <w:lang w:eastAsia="en-US"/>
        </w:rPr>
        <w:t xml:space="preserve"> (srov. </w:t>
      </w:r>
      <w:r w:rsidRPr="009655BB">
        <w:rPr>
          <w:rFonts w:ascii="Arial" w:hAnsi="Arial" w:cs="Arial"/>
          <w:sz w:val="20"/>
          <w:szCs w:val="20"/>
          <w:lang w:eastAsia="en-US"/>
        </w:rPr>
        <w:t>znění Přílohy č. 6 zadávací dokumentace (Funkční a technické požadavky), konkrétně Kapitoly 2, Odstavce 2.5.1.4, bodu Dostupnost).</w:t>
      </w:r>
    </w:p>
    <w:p w:rsidR="00487C00" w:rsidRDefault="00652E3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Zadavatel tedy pro vyloučení veškerých povinností shrnuje, že dodavatel je povinen odstraňovat jakékoli chyby systému způsobené kteroukoli osobou</w:t>
      </w:r>
      <w:r w:rsidR="008C0E38">
        <w:rPr>
          <w:rFonts w:ascii="Arial" w:hAnsi="Arial" w:cs="Arial"/>
          <w:sz w:val="20"/>
          <w:szCs w:val="20"/>
          <w:lang w:eastAsia="en-US"/>
        </w:rPr>
        <w:t>, a to i třetími stranami. Pokud byl však incident prokazatelně způsoben třetí stranou ve výše uvedeném smyslu, do dostupnosti se nezapočítává</w:t>
      </w:r>
      <w:r w:rsidR="00560AB6">
        <w:rPr>
          <w:rFonts w:ascii="Arial" w:hAnsi="Arial" w:cs="Arial"/>
          <w:sz w:val="20"/>
          <w:szCs w:val="20"/>
          <w:lang w:eastAsia="en-US"/>
        </w:rPr>
        <w:t xml:space="preserve"> (i tak je však Poskytovatel povinen jej bezodkladně odstranit)</w:t>
      </w:r>
      <w:r w:rsidR="008C0E38">
        <w:rPr>
          <w:rFonts w:ascii="Arial" w:hAnsi="Arial" w:cs="Arial"/>
          <w:sz w:val="20"/>
          <w:szCs w:val="20"/>
          <w:lang w:eastAsia="en-US"/>
        </w:rPr>
        <w:t xml:space="preserve">. </w:t>
      </w:r>
    </w:p>
    <w:p w:rsidR="00652E37" w:rsidRDefault="008C0E3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Účelem výše uvedených ustanovení je zajistit, aby systém JISPSV, jehož provoz je nezbytný pro zajištění základních činností státu v</w:t>
      </w:r>
      <w:r w:rsidR="00487C00">
        <w:rPr>
          <w:rFonts w:ascii="Arial" w:hAnsi="Arial" w:cs="Arial"/>
          <w:sz w:val="20"/>
          <w:szCs w:val="20"/>
          <w:lang w:eastAsia="en-US"/>
        </w:rPr>
        <w:t> oblasti agend práce a sociálních věcí</w:t>
      </w:r>
      <w:r>
        <w:rPr>
          <w:rFonts w:ascii="Arial" w:hAnsi="Arial" w:cs="Arial"/>
          <w:sz w:val="20"/>
          <w:szCs w:val="20"/>
          <w:lang w:eastAsia="en-US"/>
        </w:rPr>
        <w:t>, byl vždy plně funkční bez ohledu na příčinu chyby</w:t>
      </w:r>
      <w:r w:rsidR="00CE16DF">
        <w:rPr>
          <w:rFonts w:ascii="Arial" w:hAnsi="Arial" w:cs="Arial"/>
          <w:sz w:val="20"/>
          <w:szCs w:val="20"/>
          <w:lang w:eastAsia="en-US"/>
        </w:rPr>
        <w:t xml:space="preserve">. </w:t>
      </w:r>
    </w:p>
    <w:p w:rsidR="00911955" w:rsidRPr="00E5074C" w:rsidRDefault="0091195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Co se týče příkladu uváděného tazatelem, k tomuto zadavatel uvádí, že smlouva stanoví pouze povinnost odstraňovat chyby </w:t>
      </w:r>
      <w:r w:rsidRPr="00E5074C">
        <w:rPr>
          <w:rFonts w:ascii="Arial" w:hAnsi="Arial" w:cs="Arial"/>
          <w:b/>
          <w:sz w:val="20"/>
          <w:szCs w:val="20"/>
          <w:lang w:eastAsia="en-US"/>
        </w:rPr>
        <w:t>systému</w:t>
      </w:r>
      <w:r>
        <w:rPr>
          <w:rFonts w:ascii="Arial" w:hAnsi="Arial" w:cs="Arial"/>
          <w:sz w:val="20"/>
          <w:szCs w:val="20"/>
          <w:lang w:eastAsia="en-US"/>
        </w:rPr>
        <w:t xml:space="preserve"> způsobené mimo jiné třetí stranou (např. dodavatelem infrastruktury či elektrické energie), v žádném případě však nestanoví povinnost poskytovatele jakkoli opravovat vadné plnění třetí strany (poskytovatel tedy nebude povinen operativně dodávat novou infrastrukturu či pokládat elektrické vedení).</w:t>
      </w:r>
      <w:r w:rsidR="00D568A3">
        <w:rPr>
          <w:rFonts w:ascii="Arial" w:hAnsi="Arial" w:cs="Arial"/>
          <w:sz w:val="20"/>
          <w:szCs w:val="20"/>
          <w:lang w:eastAsia="en-US"/>
        </w:rPr>
        <w:t xml:space="preserve"> Tuto část dotazu tazatele tak zadavatel nepovažuje za relevantní. </w:t>
      </w:r>
    </w:p>
    <w:p w:rsidR="00652E37" w:rsidRPr="00E5074C" w:rsidRDefault="00652E3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:rsidR="00516DC8" w:rsidRPr="00040199" w:rsidRDefault="00516DC8" w:rsidP="00DF2FD1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D4661D">
        <w:rPr>
          <w:rFonts w:ascii="Arial" w:hAnsi="Arial" w:cs="Arial"/>
          <w:sz w:val="20"/>
          <w:szCs w:val="20"/>
          <w:lang w:eastAsia="en-US" w:bidi="en-US"/>
        </w:rPr>
        <w:t>12. 2. 2015</w:t>
      </w:r>
    </w:p>
    <w:sectPr w:rsidR="00331330" w:rsidRPr="00040199" w:rsidSect="00D4661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27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E97" w:rsidRDefault="00A10E97">
      <w:r>
        <w:separator/>
      </w:r>
    </w:p>
  </w:endnote>
  <w:endnote w:type="continuationSeparator" w:id="0">
    <w:p w:rsidR="00A10E97" w:rsidRDefault="00A10E97">
      <w:r>
        <w:continuationSeparator/>
      </w:r>
    </w:p>
  </w:endnote>
  <w:endnote w:type="continuationNotice" w:id="1">
    <w:p w:rsidR="00A10E97" w:rsidRDefault="00A10E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F7B4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8F7B44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25FB5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25FB5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E97" w:rsidRDefault="00A10E97">
      <w:r>
        <w:separator/>
      </w:r>
    </w:p>
  </w:footnote>
  <w:footnote w:type="continuationSeparator" w:id="0">
    <w:p w:rsidR="00A10E97" w:rsidRDefault="00A10E97">
      <w:r>
        <w:continuationSeparator/>
      </w:r>
    </w:p>
  </w:footnote>
  <w:footnote w:type="continuationNotice" w:id="1">
    <w:p w:rsidR="00A10E97" w:rsidRDefault="00A10E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406E9"/>
    <w:multiLevelType w:val="hybridMultilevel"/>
    <w:tmpl w:val="B816985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F5BD7"/>
    <w:multiLevelType w:val="hybridMultilevel"/>
    <w:tmpl w:val="25F81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AD21C7D"/>
    <w:multiLevelType w:val="hybridMultilevel"/>
    <w:tmpl w:val="B9322D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9067440">
      <w:start w:val="1"/>
      <w:numFmt w:val="lowerLetter"/>
      <w:lvlText w:val="%2)"/>
      <w:lvlJc w:val="left"/>
      <w:pPr>
        <w:ind w:left="1815" w:hanging="73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6"/>
  </w:num>
  <w:num w:numId="4">
    <w:abstractNumId w:val="13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9"/>
  </w:num>
  <w:num w:numId="11">
    <w:abstractNumId w:val="6"/>
  </w:num>
  <w:num w:numId="12">
    <w:abstractNumId w:val="12"/>
  </w:num>
  <w:num w:numId="13">
    <w:abstractNumId w:val="17"/>
  </w:num>
  <w:num w:numId="14">
    <w:abstractNumId w:val="28"/>
  </w:num>
  <w:num w:numId="15">
    <w:abstractNumId w:val="26"/>
  </w:num>
  <w:num w:numId="16">
    <w:abstractNumId w:val="21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2"/>
  </w:num>
  <w:num w:numId="21">
    <w:abstractNumId w:val="14"/>
  </w:num>
  <w:num w:numId="22">
    <w:abstractNumId w:val="18"/>
  </w:num>
  <w:num w:numId="23">
    <w:abstractNumId w:val="30"/>
  </w:num>
  <w:num w:numId="24">
    <w:abstractNumId w:val="10"/>
  </w:num>
  <w:num w:numId="25">
    <w:abstractNumId w:val="9"/>
  </w:num>
  <w:num w:numId="26">
    <w:abstractNumId w:val="23"/>
  </w:num>
  <w:num w:numId="27">
    <w:abstractNumId w:val="25"/>
  </w:num>
  <w:num w:numId="28">
    <w:abstractNumId w:val="4"/>
  </w:num>
  <w:num w:numId="29">
    <w:abstractNumId w:val="7"/>
  </w:num>
  <w:num w:numId="30">
    <w:abstractNumId w:val="20"/>
  </w:num>
  <w:num w:numId="31">
    <w:abstractNumId w:val="27"/>
  </w:num>
  <w:num w:numId="32">
    <w:abstractNumId w:val="15"/>
  </w:num>
  <w:num w:numId="33">
    <w:abstractNumId w:val="5"/>
  </w:num>
  <w:num w:numId="3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09A5"/>
    <w:rsid w:val="00183D7E"/>
    <w:rsid w:val="001923A5"/>
    <w:rsid w:val="00194D42"/>
    <w:rsid w:val="0019794C"/>
    <w:rsid w:val="001A0D69"/>
    <w:rsid w:val="001A58FD"/>
    <w:rsid w:val="001A72BB"/>
    <w:rsid w:val="001B0FD0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5093"/>
    <w:rsid w:val="002F5954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91308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00E72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87C00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16DC8"/>
    <w:rsid w:val="00520AA9"/>
    <w:rsid w:val="005224F3"/>
    <w:rsid w:val="00525147"/>
    <w:rsid w:val="00535533"/>
    <w:rsid w:val="00541A05"/>
    <w:rsid w:val="00553E00"/>
    <w:rsid w:val="00560AB6"/>
    <w:rsid w:val="00570526"/>
    <w:rsid w:val="00575442"/>
    <w:rsid w:val="005759CB"/>
    <w:rsid w:val="005919BE"/>
    <w:rsid w:val="0059229E"/>
    <w:rsid w:val="005A35B5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2E37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2168"/>
    <w:rsid w:val="00745957"/>
    <w:rsid w:val="00747A68"/>
    <w:rsid w:val="007561CC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78F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48B3"/>
    <w:rsid w:val="008B585D"/>
    <w:rsid w:val="008B6D80"/>
    <w:rsid w:val="008C0E38"/>
    <w:rsid w:val="008C2175"/>
    <w:rsid w:val="008C38EF"/>
    <w:rsid w:val="008D723D"/>
    <w:rsid w:val="008F1269"/>
    <w:rsid w:val="008F60B7"/>
    <w:rsid w:val="008F7441"/>
    <w:rsid w:val="008F7B44"/>
    <w:rsid w:val="00911955"/>
    <w:rsid w:val="009326FB"/>
    <w:rsid w:val="00937265"/>
    <w:rsid w:val="009406BA"/>
    <w:rsid w:val="00942B06"/>
    <w:rsid w:val="00942DF9"/>
    <w:rsid w:val="0095733F"/>
    <w:rsid w:val="00962220"/>
    <w:rsid w:val="00962703"/>
    <w:rsid w:val="009655BB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0E97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5FB5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543B9"/>
    <w:rsid w:val="00C610C1"/>
    <w:rsid w:val="00C61C09"/>
    <w:rsid w:val="00C73F32"/>
    <w:rsid w:val="00C75471"/>
    <w:rsid w:val="00C775FF"/>
    <w:rsid w:val="00C80DE6"/>
    <w:rsid w:val="00C8338D"/>
    <w:rsid w:val="00C86313"/>
    <w:rsid w:val="00C96E0A"/>
    <w:rsid w:val="00C97DC6"/>
    <w:rsid w:val="00CA462E"/>
    <w:rsid w:val="00CA68BE"/>
    <w:rsid w:val="00CA77D6"/>
    <w:rsid w:val="00CB3734"/>
    <w:rsid w:val="00CB60ED"/>
    <w:rsid w:val="00CC538A"/>
    <w:rsid w:val="00CD0676"/>
    <w:rsid w:val="00CE16DF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4661D"/>
    <w:rsid w:val="00D568A3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74C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C6DA1"/>
    <w:rsid w:val="00ED0167"/>
    <w:rsid w:val="00ED0D5B"/>
    <w:rsid w:val="00ED4E5A"/>
    <w:rsid w:val="00ED6720"/>
    <w:rsid w:val="00EE272A"/>
    <w:rsid w:val="00EE2F5C"/>
    <w:rsid w:val="00EE3DBB"/>
    <w:rsid w:val="00EF4A59"/>
    <w:rsid w:val="00EF658B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C495F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7421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742168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742168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742168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742168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742168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742168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742168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742168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742168"/>
    <w:pPr>
      <w:jc w:val="both"/>
      <w:outlineLvl w:val="7"/>
    </w:pPr>
  </w:style>
  <w:style w:type="paragraph" w:customStyle="1" w:styleId="Textodstavce">
    <w:name w:val="Text odstavce"/>
    <w:basedOn w:val="Normln"/>
    <w:rsid w:val="00742168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742168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742168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742168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742168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742168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742168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742168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742168"/>
    <w:pPr>
      <w:spacing w:after="120" w:line="480" w:lineRule="auto"/>
    </w:pPr>
  </w:style>
  <w:style w:type="paragraph" w:styleId="Zkladntextodsazen3">
    <w:name w:val="Body Text Indent 3"/>
    <w:basedOn w:val="Normln"/>
    <w:rsid w:val="00742168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742168"/>
  </w:style>
  <w:style w:type="paragraph" w:customStyle="1" w:styleId="NormalJustified">
    <w:name w:val="Normal (Justified)"/>
    <w:basedOn w:val="Normln"/>
    <w:rsid w:val="00742168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742168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742168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742168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74216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2168"/>
  </w:style>
  <w:style w:type="paragraph" w:styleId="Zhlav">
    <w:name w:val="header"/>
    <w:basedOn w:val="Normln"/>
    <w:rsid w:val="00742168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742168"/>
    <w:rPr>
      <w:color w:val="0000FF"/>
      <w:u w:val="single"/>
    </w:rPr>
  </w:style>
  <w:style w:type="paragraph" w:customStyle="1" w:styleId="BodyText21">
    <w:name w:val="Body Text 21"/>
    <w:basedOn w:val="Normln"/>
    <w:rsid w:val="00742168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742168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742168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742168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742168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742168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742168"/>
    <w:pPr>
      <w:spacing w:before="100" w:beforeAutospacing="1" w:after="100" w:afterAutospacing="1"/>
    </w:pPr>
  </w:style>
  <w:style w:type="character" w:styleId="Sledovanodkaz">
    <w:name w:val="FollowedHyperlink"/>
    <w:rsid w:val="00742168"/>
    <w:rPr>
      <w:color w:val="800080"/>
      <w:u w:val="single"/>
    </w:rPr>
  </w:style>
  <w:style w:type="paragraph" w:customStyle="1" w:styleId="dek">
    <w:name w:val="Řádek"/>
    <w:basedOn w:val="Normln"/>
    <w:rsid w:val="00742168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742168"/>
  </w:style>
  <w:style w:type="paragraph" w:styleId="Prosttext">
    <w:name w:val="Plain Text"/>
    <w:basedOn w:val="Normln"/>
    <w:rsid w:val="00742168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74216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742168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742168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742168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74216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74216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42168"/>
    <w:rPr>
      <w:sz w:val="20"/>
      <w:szCs w:val="20"/>
    </w:rPr>
  </w:style>
  <w:style w:type="paragraph" w:styleId="Titulek">
    <w:name w:val="caption"/>
    <w:basedOn w:val="Normln"/>
    <w:next w:val="Normln"/>
    <w:qFormat/>
    <w:rsid w:val="00742168"/>
    <w:pPr>
      <w:spacing w:before="120" w:after="120"/>
    </w:pPr>
  </w:style>
  <w:style w:type="paragraph" w:styleId="Rozloendokumentu">
    <w:name w:val="Document Map"/>
    <w:basedOn w:val="Normln"/>
    <w:semiHidden/>
    <w:rsid w:val="0074216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742168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742168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42168"/>
    <w:rPr>
      <w:b/>
      <w:bCs/>
    </w:rPr>
  </w:style>
  <w:style w:type="paragraph" w:customStyle="1" w:styleId="Renatka">
    <w:name w:val="Renatka"/>
    <w:basedOn w:val="Normln"/>
    <w:rsid w:val="00742168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OTg6ywB83GNrmFK8gCAqyjf0A0I=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7t9DTraNDIT+gbP5D9kNRAHjSBo=</DigestValue>
    </Reference>
  </SignedInfo>
  <SignatureValue>Kho+Q7Go1vwsIhL8iFnuGYU4F+9LGMK864KrtVr2Q46UVxeMDv+TenzBE/dG5pPyldZnYaYBksR7
lY3peamsM9kC2gIOjQBWIAPzc6EDvjzwNxSdV4cmGALczbXLh2bd4Cx7J65NM5j+G7OO2UaZLBHu
tIu0TGNWrBRq7yXw2dtF/jnMLm8Cdq8XKk9iRfceSgEyQ4onKwmVbVA7rfgjxjbnsIvsY+Qm0Ufl
0nW2ZbH+g97PAZE2xr/fc7UVihddy7/bY8SpTunUc9p+e36/HuMusyrNmAOqm22FxABQL6n99Sgr
JzAqEOsvmWX4u2t88Tcl1yx5y3sQt30sWLSjYQ==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uuei4wjWhyIxVHI1TSiSALPg57o=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mdY6GtcS87l+kPsnKuwyf/cpzrA=</DigestValue>
      </Reference>
      <Reference URI="/word/styles.xml?ContentType=application/vnd.openxmlformats-officedocument.wordprocessingml.styles+xml">
        <DigestMethod Algorithm="http://www.w3.org/2000/09/xmldsig#sha1"/>
        <DigestValue>G+8LVLw+M36UrG6FoE9ePUnwCDw=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GrlhyoxXEosXvIGbXJwAVQEZn/E=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2XKOxftd/nUTc2cOicX19hpI9fA=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66aa3dfDgahvxpJAp1RHBKiujfQ=</DigestValue>
      </Reference>
      <Reference URI="/word/footer1.xml?ContentType=application/vnd.openxmlformats-officedocument.wordprocessingml.footer+xml">
        <DigestMethod Algorithm="http://www.w3.org/2000/09/xmldsig#sha1"/>
        <DigestValue>o06LzTLNpnNyp1H+WL7d8KTiDm4=</DigestValue>
      </Reference>
      <Reference URI="/word/footnotes.xml?ContentType=application/vnd.openxmlformats-officedocument.wordprocessingml.footnotes+xml">
        <DigestMethod Algorithm="http://www.w3.org/2000/09/xmldsig#sha1"/>
        <DigestValue>z7aUrxWUKdvOPNy3sT1AtwHW4ns=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2015-02-12T18:26:08Z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2015-02-12T18:26:08Z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18135E-9C16-4F95-932A-194972877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Najmanová Alena Ing. (MPSV)</cp:lastModifiedBy>
  <cp:revision>3</cp:revision>
  <cp:lastPrinted>2015-02-12T18:25:00Z</cp:lastPrinted>
  <dcterms:created xsi:type="dcterms:W3CDTF">2015-02-12T18:10:00Z</dcterms:created>
  <dcterms:modified xsi:type="dcterms:W3CDTF">2015-02-12T18:26:00Z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