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1" w:rsidRPr="000930CE" w:rsidRDefault="003A4E26" w:rsidP="00D65656">
      <w:pPr>
        <w:spacing w:after="120" w:line="280" w:lineRule="atLeast"/>
        <w:jc w:val="center"/>
        <w:rPr>
          <w:rFonts w:ascii="Arial Narrow" w:hAnsi="Arial Narrow"/>
          <w:b/>
          <w:bCs/>
          <w:sz w:val="28"/>
          <w:szCs w:val="28"/>
        </w:rPr>
      </w:pPr>
      <w:r w:rsidRPr="000930CE">
        <w:rPr>
          <w:rFonts w:ascii="Arial Narrow" w:hAnsi="Arial Narrow"/>
          <w:b/>
          <w:bCs/>
          <w:sz w:val="28"/>
          <w:szCs w:val="28"/>
        </w:rPr>
        <w:t xml:space="preserve">PLNĚNÍ ZAKÁZKY NA ZÁKLADĚ </w:t>
      </w:r>
      <w:r w:rsidR="005F7C6C" w:rsidRPr="000930CE">
        <w:rPr>
          <w:rFonts w:ascii="Arial Narrow" w:hAnsi="Arial Narrow"/>
          <w:b/>
          <w:bCs/>
          <w:sz w:val="28"/>
          <w:szCs w:val="28"/>
        </w:rPr>
        <w:t>ROZHODNUTÍ O VÝBĚRU NEJVHODNĚJŠÍ NABÍDKY</w:t>
      </w:r>
      <w:r w:rsidR="000930CE" w:rsidRPr="000930CE">
        <w:rPr>
          <w:rFonts w:ascii="Arial Narrow" w:hAnsi="Arial Narrow"/>
          <w:b/>
          <w:bCs/>
          <w:sz w:val="28"/>
          <w:szCs w:val="28"/>
        </w:rPr>
        <w:t xml:space="preserve"> ZA ROK 2017</w:t>
      </w:r>
    </w:p>
    <w:p w:rsidR="00091A5D" w:rsidRPr="00EB58ED" w:rsidRDefault="00091A5D" w:rsidP="00091A5D">
      <w:pPr>
        <w:spacing w:after="120" w:line="280" w:lineRule="atLeast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dle § 79</w:t>
      </w:r>
      <w:r w:rsidRPr="00EB58ED">
        <w:rPr>
          <w:rFonts w:ascii="Arial Narrow" w:hAnsi="Arial Narrow"/>
          <w:b/>
          <w:bCs/>
          <w:sz w:val="20"/>
          <w:szCs w:val="20"/>
        </w:rPr>
        <w:t xml:space="preserve"> zákona č. 137/2006 Sb., o veřejných zakázkách, ve znění pozdějších předpisů</w:t>
      </w:r>
    </w:p>
    <w:p w:rsidR="0060786C" w:rsidRPr="00EB58ED" w:rsidRDefault="0060786C" w:rsidP="00AF354F">
      <w:pPr>
        <w:spacing w:after="0" w:line="280" w:lineRule="atLeast"/>
        <w:jc w:val="both"/>
        <w:rPr>
          <w:rFonts w:ascii="Arial Narrow" w:eastAsia="MS Mincho" w:hAnsi="Arial Narrow" w:cs="Arial"/>
          <w:b/>
          <w:sz w:val="20"/>
          <w:szCs w:val="20"/>
        </w:rPr>
      </w:pPr>
    </w:p>
    <w:p w:rsidR="002C07CC" w:rsidRPr="00EB58ED" w:rsidRDefault="002C07CC" w:rsidP="002C07CC">
      <w:pPr>
        <w:spacing w:line="280" w:lineRule="atLeast"/>
        <w:jc w:val="both"/>
        <w:rPr>
          <w:rFonts w:ascii="Arial Narrow" w:eastAsia="MS Mincho" w:hAnsi="Arial Narrow" w:cs="Arial"/>
          <w:b/>
          <w:sz w:val="20"/>
          <w:szCs w:val="20"/>
        </w:rPr>
      </w:pPr>
      <w:r w:rsidRPr="00EB58ED">
        <w:rPr>
          <w:rFonts w:ascii="Arial Narrow" w:eastAsia="MS Mincho" w:hAnsi="Arial Narrow" w:cs="Arial"/>
          <w:b/>
          <w:sz w:val="20"/>
          <w:szCs w:val="20"/>
        </w:rPr>
        <w:t>ZADAVATEL:</w:t>
      </w:r>
      <w:r w:rsidRPr="00EB58ED">
        <w:rPr>
          <w:rFonts w:ascii="Arial Narrow" w:eastAsia="MS Mincho" w:hAnsi="Arial Narrow" w:cs="Arial"/>
          <w:b/>
          <w:sz w:val="20"/>
          <w:szCs w:val="20"/>
        </w:rPr>
        <w:tab/>
        <w:t xml:space="preserve"> </w:t>
      </w:r>
      <w:r w:rsidRPr="00EB58ED">
        <w:rPr>
          <w:rFonts w:ascii="Arial Narrow" w:eastAsia="MS Mincho" w:hAnsi="Arial Narrow" w:cs="Arial"/>
          <w:b/>
          <w:sz w:val="20"/>
          <w:szCs w:val="20"/>
        </w:rPr>
        <w:tab/>
        <w:t xml:space="preserve">Úřad práce České republiky – krajská pobočka pro hlavní město Prahu, </w:t>
      </w:r>
      <w:r w:rsidRPr="00EB58ED">
        <w:rPr>
          <w:rFonts w:ascii="Arial Narrow" w:eastAsia="MS Mincho" w:hAnsi="Arial Narrow" w:cs="Arial"/>
          <w:b/>
          <w:sz w:val="20"/>
          <w:szCs w:val="20"/>
        </w:rPr>
        <w:tab/>
      </w:r>
      <w:r w:rsidRPr="00EB58ED">
        <w:rPr>
          <w:rFonts w:ascii="Arial Narrow" w:eastAsia="MS Mincho" w:hAnsi="Arial Narrow" w:cs="Arial"/>
          <w:b/>
          <w:sz w:val="20"/>
          <w:szCs w:val="20"/>
        </w:rPr>
        <w:tab/>
      </w:r>
      <w:r w:rsidRPr="00EB58ED">
        <w:rPr>
          <w:rFonts w:ascii="Arial Narrow" w:eastAsia="MS Mincho" w:hAnsi="Arial Narrow" w:cs="Arial"/>
          <w:b/>
          <w:sz w:val="20"/>
          <w:szCs w:val="20"/>
        </w:rPr>
        <w:tab/>
      </w:r>
      <w:r w:rsidR="00AF08E0" w:rsidRPr="00EB58ED">
        <w:rPr>
          <w:rFonts w:ascii="Arial Narrow" w:eastAsia="MS Mincho" w:hAnsi="Arial Narrow" w:cs="Arial"/>
          <w:b/>
          <w:sz w:val="20"/>
          <w:szCs w:val="20"/>
        </w:rPr>
        <w:tab/>
      </w:r>
      <w:r w:rsidR="00EB58ED">
        <w:rPr>
          <w:rFonts w:ascii="Arial Narrow" w:eastAsia="MS Mincho" w:hAnsi="Arial Narrow" w:cs="Arial"/>
          <w:b/>
          <w:sz w:val="20"/>
          <w:szCs w:val="20"/>
        </w:rPr>
        <w:tab/>
      </w:r>
      <w:r w:rsidR="00EB58ED">
        <w:rPr>
          <w:rFonts w:ascii="Arial Narrow" w:eastAsia="MS Mincho" w:hAnsi="Arial Narrow" w:cs="Arial"/>
          <w:b/>
          <w:sz w:val="20"/>
          <w:szCs w:val="20"/>
        </w:rPr>
        <w:tab/>
      </w:r>
      <w:r w:rsidR="0060786C">
        <w:rPr>
          <w:rFonts w:ascii="Arial Narrow" w:eastAsia="MS Mincho" w:hAnsi="Arial Narrow" w:cs="Arial"/>
          <w:b/>
          <w:sz w:val="20"/>
          <w:szCs w:val="20"/>
        </w:rPr>
        <w:tab/>
      </w:r>
      <w:r w:rsidRPr="00EB58ED">
        <w:rPr>
          <w:rFonts w:ascii="Arial Narrow" w:eastAsia="MS Mincho" w:hAnsi="Arial Narrow" w:cs="Arial"/>
          <w:b/>
          <w:sz w:val="20"/>
          <w:szCs w:val="20"/>
        </w:rPr>
        <w:t>Domažlická 11, 130 11 Praha 3, IČ: 72496991</w:t>
      </w:r>
    </w:p>
    <w:p w:rsidR="002C07CC" w:rsidRPr="00EB58ED" w:rsidRDefault="002C07CC" w:rsidP="002C07CC">
      <w:pPr>
        <w:spacing w:line="280" w:lineRule="atLeast"/>
        <w:jc w:val="both"/>
        <w:rPr>
          <w:rFonts w:ascii="Arial Narrow" w:eastAsia="MS Mincho" w:hAnsi="Arial Narrow" w:cs="Arial"/>
          <w:b/>
          <w:sz w:val="20"/>
          <w:szCs w:val="20"/>
        </w:rPr>
      </w:pPr>
      <w:r w:rsidRPr="00EB58ED">
        <w:rPr>
          <w:rFonts w:ascii="Arial Narrow" w:eastAsia="MS Mincho" w:hAnsi="Arial Narrow" w:cs="Arial"/>
          <w:b/>
          <w:sz w:val="20"/>
          <w:szCs w:val="20"/>
        </w:rPr>
        <w:t xml:space="preserve">VEŘEJNÁ ZAKÁZKA: </w:t>
      </w:r>
      <w:r w:rsidRPr="00EB58ED">
        <w:rPr>
          <w:rFonts w:ascii="Arial Narrow" w:eastAsia="MS Mincho" w:hAnsi="Arial Narrow" w:cs="Arial"/>
          <w:b/>
          <w:sz w:val="20"/>
          <w:szCs w:val="20"/>
        </w:rPr>
        <w:tab/>
      </w:r>
      <w:r w:rsidR="00AC4B8F" w:rsidRPr="00AC4B8F">
        <w:rPr>
          <w:rFonts w:ascii="Arial Narrow" w:eastAsia="MS Mincho" w:hAnsi="Arial Narrow" w:cs="Arial"/>
          <w:b/>
          <w:sz w:val="20"/>
          <w:szCs w:val="20"/>
        </w:rPr>
        <w:t>PORADENSTVÍM KE ZLEPŠENÍ ORIENTACE PRAŽANŮ NA TRHU PRÁCE</w:t>
      </w:r>
    </w:p>
    <w:p w:rsidR="00091A5D" w:rsidRDefault="00091A5D" w:rsidP="00091A5D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EB58ED">
        <w:rPr>
          <w:rFonts w:ascii="Arial Narrow" w:hAnsi="Arial Narrow" w:cs="Arial"/>
          <w:bCs/>
          <w:sz w:val="20"/>
          <w:szCs w:val="20"/>
        </w:rPr>
        <w:t xml:space="preserve">Hodnotící komise (dále jen „komise“) </w:t>
      </w:r>
      <w:r>
        <w:rPr>
          <w:rFonts w:ascii="Arial Narrow" w:hAnsi="Arial Narrow" w:cs="Arial"/>
          <w:bCs/>
          <w:sz w:val="20"/>
          <w:szCs w:val="20"/>
        </w:rPr>
        <w:t xml:space="preserve">se sešla k jednání ve věci hodnocení </w:t>
      </w:r>
      <w:r w:rsidRPr="00B66ED2">
        <w:rPr>
          <w:rFonts w:ascii="Arial Narrow" w:hAnsi="Arial Narrow" w:cs="Arial"/>
          <w:bCs/>
          <w:sz w:val="20"/>
          <w:szCs w:val="20"/>
        </w:rPr>
        <w:t xml:space="preserve">nabídek dne </w:t>
      </w:r>
      <w:r w:rsidR="00AC0022">
        <w:rPr>
          <w:rFonts w:ascii="Arial Narrow" w:hAnsi="Arial Narrow" w:cs="Arial"/>
          <w:bCs/>
          <w:sz w:val="20"/>
          <w:szCs w:val="20"/>
        </w:rPr>
        <w:t xml:space="preserve">16. 2. 2015 v počtu </w:t>
      </w:r>
      <w:proofErr w:type="gramStart"/>
      <w:r w:rsidR="00AC0022">
        <w:rPr>
          <w:rFonts w:ascii="Arial Narrow" w:hAnsi="Arial Narrow" w:cs="Arial"/>
          <w:bCs/>
          <w:sz w:val="20"/>
          <w:szCs w:val="20"/>
        </w:rPr>
        <w:t>6ti</w:t>
      </w:r>
      <w:proofErr w:type="gramEnd"/>
      <w:r w:rsidR="00AC0022">
        <w:rPr>
          <w:rFonts w:ascii="Arial Narrow" w:hAnsi="Arial Narrow" w:cs="Arial"/>
          <w:bCs/>
          <w:sz w:val="20"/>
          <w:szCs w:val="20"/>
        </w:rPr>
        <w:t xml:space="preserve"> členů.</w:t>
      </w:r>
    </w:p>
    <w:p w:rsidR="00AC0022" w:rsidRDefault="00091A5D" w:rsidP="00091A5D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Předmětem jednání komise bylo hodnocení nabídek podle základního hodnotícího kritéria </w:t>
      </w:r>
      <w:r w:rsidR="00AC0022">
        <w:rPr>
          <w:rFonts w:ascii="Arial Narrow" w:hAnsi="Arial Narrow" w:cs="Arial"/>
          <w:bCs/>
          <w:sz w:val="20"/>
          <w:szCs w:val="20"/>
        </w:rPr>
        <w:t xml:space="preserve">nejnižší nabídková cena. Pro všechny části nabídky byla hodnocena cena bez DPH </w:t>
      </w:r>
      <w:r w:rsidR="00536B8E">
        <w:rPr>
          <w:rFonts w:ascii="Arial Narrow" w:hAnsi="Arial Narrow" w:cs="Arial"/>
          <w:bCs/>
          <w:sz w:val="20"/>
          <w:szCs w:val="20"/>
        </w:rPr>
        <w:t>za jednoho účastníka</w:t>
      </w:r>
      <w:r w:rsidR="00AC0022">
        <w:rPr>
          <w:rFonts w:ascii="Arial Narrow" w:hAnsi="Arial Narrow" w:cs="Arial"/>
          <w:bCs/>
          <w:sz w:val="20"/>
          <w:szCs w:val="20"/>
        </w:rPr>
        <w:t xml:space="preserve"> </w:t>
      </w:r>
      <w:r w:rsidR="00536B8E">
        <w:rPr>
          <w:rFonts w:ascii="Arial Narrow" w:hAnsi="Arial Narrow" w:cs="Arial"/>
          <w:bCs/>
          <w:sz w:val="20"/>
          <w:szCs w:val="20"/>
        </w:rPr>
        <w:t>poradenské aktivity</w:t>
      </w:r>
      <w:r w:rsidR="00AC0022">
        <w:rPr>
          <w:rFonts w:ascii="Arial Narrow" w:hAnsi="Arial Narrow" w:cs="Arial"/>
          <w:bCs/>
          <w:sz w:val="20"/>
          <w:szCs w:val="20"/>
        </w:rPr>
        <w:t>. Jako nejvýhodnější byla pro každou část zakázky vyhodnocena nabídka s nejnižší nabídkovou cenou.</w:t>
      </w:r>
    </w:p>
    <w:tbl>
      <w:tblPr>
        <w:tblW w:w="10112" w:type="dxa"/>
        <w:jc w:val="center"/>
        <w:tblInd w:w="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6660"/>
        <w:gridCol w:w="1561"/>
        <w:gridCol w:w="1087"/>
      </w:tblGrid>
      <w:tr w:rsidR="00AC0022" w:rsidRPr="00AD4155" w:rsidTr="0060786C">
        <w:trPr>
          <w:trHeight w:hRule="exact"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022" w:rsidRPr="00AC0022" w:rsidRDefault="00AC0022" w:rsidP="007608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A6093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022" w:rsidRPr="00AC0022" w:rsidRDefault="00AC0022" w:rsidP="007608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Části č. 1 – Bilanční diagnostika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022" w:rsidRPr="00AD4155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Výsledné pořadí</w:t>
            </w:r>
          </w:p>
        </w:tc>
      </w:tr>
      <w:tr w:rsidR="00AC0022" w:rsidRPr="00AD4155" w:rsidTr="0060786C">
        <w:trPr>
          <w:trHeight w:hRule="exact"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60786C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786C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60786C" w:rsidRDefault="00AC0022" w:rsidP="007608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786C">
              <w:rPr>
                <w:rFonts w:ascii="Arial Narrow" w:hAnsi="Arial Narrow"/>
                <w:b/>
                <w:bCs/>
                <w:sz w:val="20"/>
                <w:szCs w:val="20"/>
              </w:rPr>
              <w:t>MAVO s.r.o., Černošická 20, 252 28 Vonoklasy, IČ: 62579461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1 880,00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</w:tr>
      <w:tr w:rsidR="00AC0022" w:rsidRPr="00AD4155" w:rsidTr="0060786C">
        <w:trPr>
          <w:trHeight w:hRule="exact"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AABYSS s.r.o., Slévačská 752/36, 19800 Praha 9, IČ: 25450590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2 932,00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</w:tr>
      <w:tr w:rsidR="00AC0022" w:rsidRPr="00AD4155" w:rsidTr="0060786C">
        <w:trPr>
          <w:trHeight w:hRule="exact"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a.sense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s.r.o., Synkovická 11, 190 16 Praha 9, IČ: 27912493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3 801,20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</w:tr>
      <w:tr w:rsidR="00AC0022" w:rsidRPr="00AD4155" w:rsidTr="0060786C">
        <w:trPr>
          <w:trHeight w:hRule="exact" w:val="101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Sdružení: </w:t>
            </w:r>
          </w:p>
          <w:p w:rsidR="00AC0022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NVF, o.p.s., Opletalova 1417/25, 110 00 Praha 1, IČ: </w:t>
            </w:r>
            <w:r w:rsidRPr="00B2740B">
              <w:rPr>
                <w:rFonts w:ascii="Arial Narrow" w:hAnsi="Arial Narrow"/>
                <w:bCs/>
                <w:sz w:val="20"/>
                <w:szCs w:val="20"/>
              </w:rPr>
              <w:t>25751417</w:t>
            </w:r>
          </w:p>
          <w:p w:rsidR="00AC0022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Asociace bilanční diagnostiky, </w:t>
            </w:r>
            <w:proofErr w:type="spellStart"/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o.s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Trojmezní 177/51, Praha 9, IČ: </w:t>
            </w:r>
            <w:r w:rsidRPr="00B2740B">
              <w:rPr>
                <w:rFonts w:ascii="Arial Narrow" w:hAnsi="Arial Narrow"/>
                <w:bCs/>
                <w:sz w:val="20"/>
                <w:szCs w:val="20"/>
              </w:rPr>
              <w:t>01619641</w:t>
            </w:r>
          </w:p>
          <w:p w:rsidR="00AC0022" w:rsidRPr="00FF34EF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Audira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s.r.o., Trojmezní 177/51, Praha 9, IČ: </w:t>
            </w:r>
            <w:r w:rsidRPr="00B2740B">
              <w:rPr>
                <w:rFonts w:ascii="Arial Narrow" w:hAnsi="Arial Narrow"/>
                <w:bCs/>
                <w:sz w:val="20"/>
                <w:szCs w:val="20"/>
              </w:rPr>
              <w:t>26726327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4 350,00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</w:tr>
    </w:tbl>
    <w:p w:rsidR="00AC0022" w:rsidRDefault="00AC0022" w:rsidP="003F291E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:rsidR="0060786C" w:rsidRDefault="0060786C" w:rsidP="0060786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 část veřejné zakázky č. 1 – Bilanční diagnostika doporučuje hodnotící komise zadavateli uzavřít smlouvu s uchazečem </w:t>
      </w:r>
      <w:r w:rsidRPr="0060786C">
        <w:rPr>
          <w:rFonts w:ascii="Arial Narrow" w:hAnsi="Arial Narrow"/>
          <w:sz w:val="20"/>
          <w:szCs w:val="20"/>
        </w:rPr>
        <w:t>MAVO s.r.o., Černošická 20, 252 28 Vonoklasy, IČ: 62579461</w:t>
      </w:r>
      <w:r>
        <w:rPr>
          <w:rFonts w:ascii="Arial Narrow" w:hAnsi="Arial Narrow"/>
          <w:sz w:val="20"/>
          <w:szCs w:val="20"/>
        </w:rPr>
        <w:t>, jelikož tento uchazeč předložil nabídku s nejnižší nabídkovou cenou.</w:t>
      </w:r>
    </w:p>
    <w:tbl>
      <w:tblPr>
        <w:tblW w:w="10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6615"/>
        <w:gridCol w:w="1559"/>
        <w:gridCol w:w="1050"/>
      </w:tblGrid>
      <w:tr w:rsidR="00A60938" w:rsidRPr="00AD4155" w:rsidTr="0060786C">
        <w:trPr>
          <w:trHeight w:hRule="exact"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Pr="00AC0022" w:rsidRDefault="00A60938" w:rsidP="00AC002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Pr="00AC0022" w:rsidRDefault="00A60938" w:rsidP="00AC002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Část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č.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2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– Individuální psychologické poradenství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Pr="00AD4155" w:rsidRDefault="00A60938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Default="00A60938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Výsledné pořadí</w:t>
            </w:r>
          </w:p>
        </w:tc>
      </w:tr>
      <w:tr w:rsidR="00AC0022" w:rsidRPr="00AD4155" w:rsidTr="0060786C">
        <w:trPr>
          <w:trHeight w:hRule="exact"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9F4091" w:rsidRDefault="00A01E62" w:rsidP="007608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01E62">
              <w:rPr>
                <w:rFonts w:ascii="Arial Narrow" w:hAnsi="Arial Narrow"/>
                <w:b/>
                <w:bCs/>
                <w:sz w:val="20"/>
                <w:szCs w:val="20"/>
              </w:rPr>
              <w:t>bfz</w:t>
            </w:r>
            <w:proofErr w:type="spellEnd"/>
            <w:r w:rsidRPr="00A01E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vzdělávací akademie s.r.o., Provaznická 16, 350 02 Cheb, IČ: 27965945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2 382,80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</w:tr>
      <w:tr w:rsidR="00AC0022" w:rsidRPr="00AD4155" w:rsidTr="0060786C">
        <w:trPr>
          <w:trHeight w:hRule="exact"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AABYSS s.r.o., Slévačská 752/36, 19800 Praha 9, IČ: 25450590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3 799,00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</w:tr>
      <w:tr w:rsidR="00AC0022" w:rsidRPr="00AD4155" w:rsidTr="0060786C">
        <w:trPr>
          <w:trHeight w:hRule="exact" w:val="63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a.sense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s.r.o., Synkovická 11, 190 16 Praha 9, IČ: 27912493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3 905,20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</w:tr>
      <w:tr w:rsidR="00AC0022" w:rsidRPr="00AD4155" w:rsidTr="0060786C">
        <w:trPr>
          <w:trHeight w:hRule="exact" w:val="8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FF34EF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Společně pro vzdělávání:</w:t>
            </w:r>
          </w:p>
          <w:p w:rsidR="00AC0022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ATTEST s.r.o., Jablonecká 19/5, 460 01 Liberec, </w:t>
            </w:r>
            <w:r w:rsidRPr="00B2740B">
              <w:rPr>
                <w:rFonts w:ascii="Arial Narrow" w:hAnsi="Arial Narrow"/>
                <w:bCs/>
                <w:sz w:val="20"/>
                <w:szCs w:val="20"/>
              </w:rPr>
              <w:t>IČ: 25468243</w:t>
            </w:r>
          </w:p>
          <w:p w:rsidR="00AC0022" w:rsidRDefault="00AC0022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2740B">
              <w:rPr>
                <w:rFonts w:ascii="Arial Narrow" w:hAnsi="Arial Narrow"/>
                <w:bCs/>
                <w:sz w:val="20"/>
                <w:szCs w:val="20"/>
              </w:rPr>
              <w:t xml:space="preserve">Most ke vzdělání - </w:t>
            </w:r>
            <w:proofErr w:type="spellStart"/>
            <w:r w:rsidRPr="00B2740B">
              <w:rPr>
                <w:rFonts w:ascii="Arial Narrow" w:hAnsi="Arial Narrow"/>
                <w:bCs/>
                <w:sz w:val="20"/>
                <w:szCs w:val="20"/>
              </w:rPr>
              <w:t>Bridge</w:t>
            </w:r>
            <w:proofErr w:type="spellEnd"/>
            <w:r w:rsidRPr="00B2740B">
              <w:rPr>
                <w:rFonts w:ascii="Arial Narrow" w:hAnsi="Arial Narrow"/>
                <w:bCs/>
                <w:sz w:val="20"/>
                <w:szCs w:val="20"/>
              </w:rPr>
              <w:t xml:space="preserve"> to </w:t>
            </w:r>
            <w:proofErr w:type="spellStart"/>
            <w:r w:rsidRPr="00B2740B">
              <w:rPr>
                <w:rFonts w:ascii="Arial Narrow" w:hAnsi="Arial Narrow"/>
                <w:bCs/>
                <w:sz w:val="20"/>
                <w:szCs w:val="20"/>
              </w:rPr>
              <w:t>education</w:t>
            </w:r>
            <w:proofErr w:type="spellEnd"/>
            <w:r w:rsidRPr="00B2740B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2740B">
              <w:rPr>
                <w:rFonts w:ascii="Arial Narrow" w:hAnsi="Arial Narrow"/>
                <w:bCs/>
                <w:sz w:val="20"/>
                <w:szCs w:val="20"/>
              </w:rPr>
              <w:t>o.s</w:t>
            </w:r>
            <w:proofErr w:type="spellEnd"/>
            <w:r w:rsidRPr="00B2740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B2740B">
              <w:rPr>
                <w:rFonts w:ascii="Arial Narrow" w:hAnsi="Arial Narrow"/>
                <w:bCs/>
                <w:sz w:val="20"/>
                <w:szCs w:val="20"/>
              </w:rPr>
              <w:t xml:space="preserve">č.p. 202, 512 37 </w:t>
            </w:r>
            <w:proofErr w:type="spellStart"/>
            <w:r w:rsidRPr="00B2740B">
              <w:rPr>
                <w:rFonts w:ascii="Arial Narrow" w:hAnsi="Arial Narrow"/>
                <w:bCs/>
                <w:sz w:val="20"/>
                <w:szCs w:val="20"/>
              </w:rPr>
              <w:t>Benecko</w:t>
            </w:r>
            <w:proofErr w:type="spellEnd"/>
            <w:r w:rsidRPr="00B2740B">
              <w:rPr>
                <w:rFonts w:ascii="Arial Narrow" w:hAnsi="Arial Narrow"/>
                <w:bCs/>
                <w:sz w:val="20"/>
                <w:szCs w:val="20"/>
              </w:rPr>
              <w:t>, IČ: 26998262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22" w:rsidRPr="00AC0022" w:rsidRDefault="00AC0022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</w:tr>
    </w:tbl>
    <w:p w:rsidR="00AC0022" w:rsidRDefault="00AC0022" w:rsidP="003F291E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:rsidR="0060786C" w:rsidRDefault="0060786C" w:rsidP="0060786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 část veřejné zakázky č. 2 – </w:t>
      </w:r>
      <w:r w:rsidRPr="0060786C">
        <w:rPr>
          <w:rFonts w:ascii="Arial Narrow" w:hAnsi="Arial Narrow"/>
          <w:sz w:val="20"/>
          <w:szCs w:val="20"/>
        </w:rPr>
        <w:t xml:space="preserve">Individuální psychologické poradenství </w:t>
      </w:r>
      <w:r>
        <w:rPr>
          <w:rFonts w:ascii="Arial Narrow" w:hAnsi="Arial Narrow"/>
          <w:sz w:val="20"/>
          <w:szCs w:val="20"/>
        </w:rPr>
        <w:t xml:space="preserve">doporučuje hodnotící komise zadavateli uzavřít smlouvu s uchazečem </w:t>
      </w:r>
      <w:proofErr w:type="spellStart"/>
      <w:r w:rsidRPr="0060786C">
        <w:rPr>
          <w:rFonts w:ascii="Arial Narrow" w:hAnsi="Arial Narrow"/>
          <w:sz w:val="20"/>
          <w:szCs w:val="20"/>
        </w:rPr>
        <w:t>Bfz</w:t>
      </w:r>
      <w:proofErr w:type="spellEnd"/>
      <w:r w:rsidRPr="0060786C">
        <w:rPr>
          <w:rFonts w:ascii="Arial Narrow" w:hAnsi="Arial Narrow"/>
          <w:sz w:val="20"/>
          <w:szCs w:val="20"/>
        </w:rPr>
        <w:t xml:space="preserve"> o.p.s., Provaznická 16, 350 02 Cheb, IČ: 27966119</w:t>
      </w:r>
      <w:r>
        <w:rPr>
          <w:rFonts w:ascii="Arial Narrow" w:hAnsi="Arial Narrow"/>
          <w:sz w:val="20"/>
          <w:szCs w:val="20"/>
        </w:rPr>
        <w:t>, jelikož tento uchazeč předložil nabídku s nejnižší nabídkovou cenou.</w:t>
      </w:r>
    </w:p>
    <w:tbl>
      <w:tblPr>
        <w:tblW w:w="10037" w:type="dxa"/>
        <w:jc w:val="center"/>
        <w:tblInd w:w="-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662"/>
        <w:gridCol w:w="1594"/>
        <w:gridCol w:w="1014"/>
      </w:tblGrid>
      <w:tr w:rsidR="00A60938" w:rsidRPr="00AD4155" w:rsidTr="0060786C">
        <w:trPr>
          <w:trHeight w:hRule="exact"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Pr="00AC0022" w:rsidRDefault="00A60938" w:rsidP="007608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Pr="00AC0022" w:rsidRDefault="00A60938" w:rsidP="007608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Část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č.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3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– Poradenství k pracovněprávním vztahům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Pr="00AD4155" w:rsidRDefault="00A60938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938" w:rsidRDefault="00A60938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Výsledné pořadí</w:t>
            </w:r>
          </w:p>
        </w:tc>
      </w:tr>
      <w:tr w:rsidR="0060786C" w:rsidRPr="00AD4155" w:rsidTr="0060786C">
        <w:trPr>
          <w:trHeight w:hRule="exact"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FF34EF" w:rsidRDefault="0060786C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9F4091" w:rsidRDefault="0060786C" w:rsidP="007608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F4091">
              <w:rPr>
                <w:rFonts w:ascii="Arial Narrow" w:hAnsi="Arial Narrow"/>
                <w:b/>
                <w:bCs/>
                <w:sz w:val="20"/>
                <w:szCs w:val="20"/>
              </w:rPr>
              <w:t>Infacility</w:t>
            </w:r>
            <w:proofErr w:type="spellEnd"/>
            <w:r w:rsidRPr="009F40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s.r.o., E. Krásnohorské 135/7, 110 00 Praha 1, IČ: 28886127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AD4155" w:rsidRDefault="0060786C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AC0022" w:rsidRDefault="0060786C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</w:tr>
      <w:tr w:rsidR="0060786C" w:rsidRPr="00AD4155" w:rsidTr="0060786C">
        <w:trPr>
          <w:trHeight w:hRule="exact" w:val="6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FF34EF" w:rsidRDefault="0060786C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7C5C50" w:rsidRDefault="0060786C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7C5C50">
              <w:rPr>
                <w:rFonts w:ascii="Arial Narrow" w:hAnsi="Arial Narrow"/>
                <w:bCs/>
                <w:sz w:val="20"/>
                <w:szCs w:val="20"/>
              </w:rPr>
              <w:t>Feichting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er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Žídek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Fyrbach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advokáti s.r.o</w:t>
            </w:r>
            <w:r w:rsidRPr="007C5C50">
              <w:rPr>
                <w:rFonts w:ascii="Arial Narrow" w:hAnsi="Arial Narrow"/>
                <w:bCs/>
                <w:sz w:val="20"/>
                <w:szCs w:val="20"/>
              </w:rPr>
              <w:t>., tř. Kpt. Jaroše, 602 00 Brno, IČ: 29304873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AD4155" w:rsidRDefault="0060786C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1 873,00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AC0022" w:rsidRDefault="0060786C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</w:tr>
      <w:tr w:rsidR="0060786C" w:rsidRPr="00AD4155" w:rsidTr="0060786C">
        <w:trPr>
          <w:trHeight w:hRule="exact"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FF34EF" w:rsidRDefault="0060786C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F2746F" w:rsidRDefault="0060786C" w:rsidP="0076080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746F">
              <w:rPr>
                <w:rFonts w:ascii="Arial Narrow" w:hAnsi="Arial Narrow"/>
                <w:bCs/>
                <w:sz w:val="20"/>
                <w:szCs w:val="20"/>
              </w:rPr>
              <w:t xml:space="preserve">Vyroubal </w:t>
            </w:r>
            <w:proofErr w:type="spellStart"/>
            <w:r w:rsidRPr="00F2746F">
              <w:rPr>
                <w:rFonts w:ascii="Arial Narrow" w:hAnsi="Arial Narrow"/>
                <w:bCs/>
                <w:sz w:val="20"/>
                <w:szCs w:val="20"/>
              </w:rPr>
              <w:t>Krajhanzl</w:t>
            </w:r>
            <w:proofErr w:type="spellEnd"/>
            <w:r w:rsidRPr="00F2746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2746F">
              <w:rPr>
                <w:rFonts w:ascii="Arial Narrow" w:hAnsi="Arial Narrow"/>
                <w:bCs/>
                <w:sz w:val="20"/>
                <w:szCs w:val="20"/>
              </w:rPr>
              <w:t>Školout</w:t>
            </w:r>
            <w:proofErr w:type="spellEnd"/>
            <w:r w:rsidRPr="00F2746F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 w:rsidRPr="00F2746F">
              <w:rPr>
                <w:rFonts w:ascii="Arial Narrow" w:hAnsi="Arial Narrow"/>
                <w:bCs/>
                <w:sz w:val="20"/>
                <w:szCs w:val="20"/>
              </w:rPr>
              <w:t>adv</w:t>
            </w:r>
            <w:proofErr w:type="spellEnd"/>
            <w:r w:rsidRPr="00F2746F">
              <w:rPr>
                <w:rFonts w:ascii="Arial Narrow" w:hAnsi="Arial Narrow"/>
                <w:bCs/>
                <w:sz w:val="20"/>
                <w:szCs w:val="20"/>
              </w:rPr>
              <w:t>. kancelář, s.r.o., Na Příkopě 859/22, 110 00 Praha 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IČ:</w:t>
            </w:r>
            <w:r>
              <w:t xml:space="preserve"> </w:t>
            </w:r>
            <w:r w:rsidRPr="00B2740B">
              <w:rPr>
                <w:rFonts w:ascii="Arial Narrow" w:hAnsi="Arial Narrow"/>
                <w:bCs/>
                <w:sz w:val="20"/>
                <w:szCs w:val="20"/>
              </w:rPr>
              <w:t>27635554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AD4155" w:rsidRDefault="0060786C" w:rsidP="007608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3 520,00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6C" w:rsidRPr="00AC0022" w:rsidRDefault="0060786C" w:rsidP="00AC00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</w:tr>
    </w:tbl>
    <w:p w:rsidR="00AC0022" w:rsidRDefault="00AC0022" w:rsidP="003F291E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:rsidR="0060786C" w:rsidRDefault="0060786C" w:rsidP="0060786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 část veřejné zakázky č. 3 – </w:t>
      </w:r>
      <w:r w:rsidRPr="0060786C">
        <w:rPr>
          <w:rFonts w:ascii="Arial Narrow" w:hAnsi="Arial Narrow"/>
          <w:sz w:val="20"/>
          <w:szCs w:val="20"/>
        </w:rPr>
        <w:t xml:space="preserve">Poradenství k pracovněprávním vztahům </w:t>
      </w:r>
      <w:r>
        <w:rPr>
          <w:rFonts w:ascii="Arial Narrow" w:hAnsi="Arial Narrow"/>
          <w:sz w:val="20"/>
          <w:szCs w:val="20"/>
        </w:rPr>
        <w:t xml:space="preserve">doporučuje hodnotící komise zadavateli uzavřít smlouvu s uchazečem </w:t>
      </w:r>
      <w:proofErr w:type="spellStart"/>
      <w:r w:rsidRPr="0060786C">
        <w:rPr>
          <w:rFonts w:ascii="Arial Narrow" w:hAnsi="Arial Narrow"/>
          <w:sz w:val="20"/>
          <w:szCs w:val="20"/>
        </w:rPr>
        <w:t>Infacility</w:t>
      </w:r>
      <w:proofErr w:type="spellEnd"/>
      <w:r w:rsidRPr="0060786C">
        <w:rPr>
          <w:rFonts w:ascii="Arial Narrow" w:hAnsi="Arial Narrow"/>
          <w:sz w:val="20"/>
          <w:szCs w:val="20"/>
        </w:rPr>
        <w:t xml:space="preserve"> s.r.o., E. Krásnohorské 135/7, 110 00 Praha 1, IČ: 28886127</w:t>
      </w:r>
      <w:r>
        <w:rPr>
          <w:rFonts w:ascii="Arial Narrow" w:hAnsi="Arial Narrow"/>
          <w:sz w:val="20"/>
          <w:szCs w:val="20"/>
        </w:rPr>
        <w:t>, jelikož tento uchazeč předložil nabídku s nejnižší nabídkovou cenou.</w:t>
      </w:r>
    </w:p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>nabídka s nejnižší nabídkovou cenou.</w:t>
      </w:r>
    </w:p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3A4E26" w:rsidRDefault="003A4E26" w:rsidP="003A4E26">
      <w:pPr>
        <w:rPr>
          <w:rFonts w:ascii="Arial Narrow" w:hAnsi="Arial Narrow"/>
          <w:b/>
          <w:sz w:val="20"/>
          <w:szCs w:val="20"/>
        </w:rPr>
      </w:pPr>
    </w:p>
    <w:p w:rsidR="003A4E26" w:rsidRDefault="003A4E26" w:rsidP="003A4E26">
      <w:pPr>
        <w:rPr>
          <w:rFonts w:ascii="Arial Narrow" w:hAnsi="Arial Narrow"/>
          <w:b/>
          <w:sz w:val="24"/>
          <w:szCs w:val="24"/>
        </w:rPr>
      </w:pPr>
      <w:r w:rsidRPr="003425A6">
        <w:rPr>
          <w:rFonts w:ascii="Arial Narrow" w:hAnsi="Arial Narrow"/>
          <w:b/>
          <w:sz w:val="24"/>
          <w:szCs w:val="24"/>
        </w:rPr>
        <w:t>Z důvodu technických nedostatků při převodu profilu z e-zakázky do profilu e-</w:t>
      </w:r>
      <w:proofErr w:type="spellStart"/>
      <w:r w:rsidRPr="003425A6">
        <w:rPr>
          <w:rFonts w:ascii="Arial Narrow" w:hAnsi="Arial Narrow"/>
          <w:b/>
          <w:sz w:val="24"/>
          <w:szCs w:val="24"/>
        </w:rPr>
        <w:t>zak</w:t>
      </w:r>
      <w:proofErr w:type="spellEnd"/>
      <w:r w:rsidRPr="003425A6">
        <w:rPr>
          <w:rFonts w:ascii="Arial Narrow" w:hAnsi="Arial Narrow"/>
          <w:b/>
          <w:sz w:val="24"/>
          <w:szCs w:val="24"/>
        </w:rPr>
        <w:t>, došlo vadnému zobrazení zakázky v e-</w:t>
      </w:r>
      <w:proofErr w:type="spellStart"/>
      <w:r w:rsidRPr="003425A6">
        <w:rPr>
          <w:rFonts w:ascii="Arial Narrow" w:hAnsi="Arial Narrow"/>
          <w:b/>
          <w:sz w:val="24"/>
          <w:szCs w:val="24"/>
        </w:rPr>
        <w:t>zaku</w:t>
      </w:r>
      <w:proofErr w:type="spellEnd"/>
      <w:r w:rsidRPr="003425A6">
        <w:rPr>
          <w:rFonts w:ascii="Arial Narrow" w:hAnsi="Arial Narrow"/>
          <w:b/>
          <w:sz w:val="24"/>
          <w:szCs w:val="24"/>
        </w:rPr>
        <w:t>. V profilu e-</w:t>
      </w:r>
      <w:proofErr w:type="spellStart"/>
      <w:r w:rsidRPr="003425A6">
        <w:rPr>
          <w:rFonts w:ascii="Arial Narrow" w:hAnsi="Arial Narrow"/>
          <w:b/>
          <w:sz w:val="24"/>
          <w:szCs w:val="24"/>
        </w:rPr>
        <w:t>zak</w:t>
      </w:r>
      <w:proofErr w:type="spellEnd"/>
      <w:r w:rsidRPr="003425A6">
        <w:rPr>
          <w:rFonts w:ascii="Arial Narrow" w:hAnsi="Arial Narrow"/>
          <w:b/>
          <w:sz w:val="24"/>
          <w:szCs w:val="24"/>
        </w:rPr>
        <w:t xml:space="preserve"> se</w:t>
      </w:r>
      <w:r>
        <w:rPr>
          <w:rFonts w:ascii="Arial Narrow" w:hAnsi="Arial Narrow"/>
          <w:b/>
          <w:sz w:val="24"/>
          <w:szCs w:val="24"/>
        </w:rPr>
        <w:t xml:space="preserve"> nezobrazuje zakázka ve vysoutěžen</w:t>
      </w:r>
      <w:r w:rsidRPr="003425A6">
        <w:rPr>
          <w:rFonts w:ascii="Arial Narrow" w:hAnsi="Arial Narrow"/>
          <w:b/>
          <w:sz w:val="24"/>
          <w:szCs w:val="24"/>
        </w:rPr>
        <w:t>ých 3 částech, ale jen jako jediná zakázka bez částí. Z těchto důvodů není možno přiřadit plnění k správné části zakázky. Využíváme proto této možnosti splnit zákonnou povinnosti informovat o plnění touto cestou.</w:t>
      </w:r>
      <w:r>
        <w:rPr>
          <w:rFonts w:ascii="Arial Narrow" w:hAnsi="Arial Narrow"/>
          <w:b/>
          <w:sz w:val="24"/>
          <w:szCs w:val="24"/>
        </w:rPr>
        <w:t xml:space="preserve"> (pomocí nestandartní situace)</w:t>
      </w:r>
    </w:p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10088" w:type="dxa"/>
        <w:jc w:val="center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6660"/>
        <w:gridCol w:w="1490"/>
        <w:gridCol w:w="1158"/>
      </w:tblGrid>
      <w:tr w:rsidR="003A4E26" w:rsidRPr="00AD4155" w:rsidTr="00CE33AE">
        <w:trPr>
          <w:trHeight w:hRule="exact"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C0022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C0022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Části č. 1 – Bilanční diagnostika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D4155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Plnění 2017</w:t>
            </w:r>
          </w:p>
        </w:tc>
      </w:tr>
      <w:tr w:rsidR="003A4E26" w:rsidRPr="00AD4155" w:rsidTr="00CE33AE">
        <w:trPr>
          <w:trHeight w:hRule="exact"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60786C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60786C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786C">
              <w:rPr>
                <w:rFonts w:ascii="Arial Narrow" w:hAnsi="Arial Narrow"/>
                <w:b/>
                <w:bCs/>
                <w:sz w:val="20"/>
                <w:szCs w:val="20"/>
              </w:rPr>
              <w:t>MAVO s.r.o., Černošická 20, 252 28 Vonoklasy, IČ: 62579461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AC0022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1 880,00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AC0022" w:rsidRDefault="003A4E26" w:rsidP="003A4E2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109</w:t>
            </w:r>
            <w:r w:rsidR="00CE33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030,00</w:t>
            </w:r>
          </w:p>
        </w:tc>
      </w:tr>
    </w:tbl>
    <w:p w:rsidR="003A4E26" w:rsidRDefault="003A4E26" w:rsidP="0060786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6615"/>
        <w:gridCol w:w="1488"/>
        <w:gridCol w:w="1121"/>
      </w:tblGrid>
      <w:tr w:rsidR="003A4E26" w:rsidRPr="00AD4155" w:rsidTr="00CE33AE">
        <w:trPr>
          <w:trHeight w:hRule="exact"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C0022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C0022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Část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č.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2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– Individuální psychologické poradenství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D4155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Plnění 2017</w:t>
            </w:r>
          </w:p>
        </w:tc>
      </w:tr>
      <w:tr w:rsidR="003A4E26" w:rsidRPr="00AD4155" w:rsidTr="00CE33AE">
        <w:trPr>
          <w:trHeight w:hRule="exact" w:val="4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FF34EF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9F4091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01E62">
              <w:rPr>
                <w:rFonts w:ascii="Arial Narrow" w:hAnsi="Arial Narrow"/>
                <w:b/>
                <w:bCs/>
                <w:sz w:val="20"/>
                <w:szCs w:val="20"/>
              </w:rPr>
              <w:t>bfz</w:t>
            </w:r>
            <w:proofErr w:type="spellEnd"/>
            <w:r w:rsidRPr="00A01E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vzdělávací akademie s.r.o., Provaznická 16, 350 02 Cheb, IČ: 27965945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AC0022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2 382,80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AC0022" w:rsidRDefault="003A4E26" w:rsidP="003A4E2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 w:rsidR="00CE33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077,20</w:t>
            </w:r>
          </w:p>
        </w:tc>
      </w:tr>
    </w:tbl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tbl>
      <w:tblPr>
        <w:tblW w:w="10037" w:type="dxa"/>
        <w:jc w:val="center"/>
        <w:tblInd w:w="-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662"/>
        <w:gridCol w:w="1488"/>
        <w:gridCol w:w="1120"/>
      </w:tblGrid>
      <w:tr w:rsidR="003A4E26" w:rsidRPr="00AD4155" w:rsidTr="00CE33AE">
        <w:trPr>
          <w:trHeight w:hRule="exact"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C0022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C0022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Část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č.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3</w:t>
            </w:r>
            <w:r w:rsidRPr="00AC002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– Poradenství k pracovněprávním vztahům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Pr="00AD4155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E26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Plnění 2017</w:t>
            </w:r>
          </w:p>
        </w:tc>
      </w:tr>
      <w:tr w:rsidR="003A4E26" w:rsidRPr="00AD4155" w:rsidTr="00CE33AE">
        <w:trPr>
          <w:trHeight w:hRule="exact"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FF34EF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9F4091" w:rsidRDefault="003A4E26" w:rsidP="0012163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F4091">
              <w:rPr>
                <w:rFonts w:ascii="Arial Narrow" w:hAnsi="Arial Narrow"/>
                <w:b/>
                <w:bCs/>
                <w:sz w:val="20"/>
                <w:szCs w:val="20"/>
              </w:rPr>
              <w:t>Infacility</w:t>
            </w:r>
            <w:proofErr w:type="spellEnd"/>
            <w:r w:rsidRPr="009F40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s.r.o., E. Krásnohorské 135/7, 110 00 Praha 1, IČ: 28886127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AD4155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26" w:rsidRPr="00AC0022" w:rsidRDefault="003A4E26" w:rsidP="0012163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02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72</w:t>
            </w:r>
            <w:r w:rsidR="00CE33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200,00</w:t>
            </w:r>
          </w:p>
        </w:tc>
      </w:tr>
    </w:tbl>
    <w:p w:rsidR="003A4E26" w:rsidRDefault="003A4E26" w:rsidP="003A4E26">
      <w:pPr>
        <w:spacing w:after="12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:rsidR="003A4E26" w:rsidRDefault="003A4E26" w:rsidP="0060786C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A4E26" w:rsidSect="0060786C">
      <w:headerReference w:type="default" r:id="rId9"/>
      <w:pgSz w:w="11906" w:h="16838" w:code="9"/>
      <w:pgMar w:top="1276" w:right="707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71" w:rsidRDefault="00684D71" w:rsidP="00DA3DEA">
      <w:pPr>
        <w:spacing w:after="0" w:line="240" w:lineRule="auto"/>
      </w:pPr>
      <w:r>
        <w:separator/>
      </w:r>
    </w:p>
  </w:endnote>
  <w:endnote w:type="continuationSeparator" w:id="0">
    <w:p w:rsidR="00684D71" w:rsidRDefault="00684D71" w:rsidP="00D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71" w:rsidRDefault="00684D71" w:rsidP="00DA3DEA">
      <w:pPr>
        <w:spacing w:after="0" w:line="240" w:lineRule="auto"/>
      </w:pPr>
      <w:r>
        <w:separator/>
      </w:r>
    </w:p>
  </w:footnote>
  <w:footnote w:type="continuationSeparator" w:id="0">
    <w:p w:rsidR="00684D71" w:rsidRDefault="00684D71" w:rsidP="00DA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28" w:rsidRPr="00BA4228" w:rsidRDefault="00913823" w:rsidP="00BA4228">
    <w:pPr>
      <w:pStyle w:val="Textzprvy"/>
    </w:pPr>
    <w:r>
      <w:rPr>
        <w:noProof/>
        <w:lang w:eastAsia="cs-CZ"/>
      </w:rPr>
      <w:drawing>
        <wp:inline distT="0" distB="0" distL="0" distR="0" wp14:anchorId="35E3BA64" wp14:editId="7C726851">
          <wp:extent cx="5795645" cy="5040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645" cy="50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228" w:rsidRDefault="00BA42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4C7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D8D1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80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3C5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10B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8A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4E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02F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E8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6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91DD8"/>
    <w:multiLevelType w:val="hybridMultilevel"/>
    <w:tmpl w:val="385C9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001BB"/>
    <w:multiLevelType w:val="hybridMultilevel"/>
    <w:tmpl w:val="21B8E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6779"/>
    <w:multiLevelType w:val="hybridMultilevel"/>
    <w:tmpl w:val="9F82B2D8"/>
    <w:lvl w:ilvl="0" w:tplc="C292DD7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55FA"/>
    <w:multiLevelType w:val="multilevel"/>
    <w:tmpl w:val="6EBA3292"/>
    <w:lvl w:ilvl="0">
      <w:start w:val="1"/>
      <w:numFmt w:val="upperRoman"/>
      <w:lvlText w:val="%1."/>
      <w:lvlJc w:val="left"/>
      <w:pPr>
        <w:tabs>
          <w:tab w:val="num" w:pos="18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F"/>
    <w:rsid w:val="000013C3"/>
    <w:rsid w:val="000154C7"/>
    <w:rsid w:val="000164CE"/>
    <w:rsid w:val="00022A95"/>
    <w:rsid w:val="0002720F"/>
    <w:rsid w:val="0003367B"/>
    <w:rsid w:val="00044E25"/>
    <w:rsid w:val="00046E6D"/>
    <w:rsid w:val="00055D8C"/>
    <w:rsid w:val="0005775B"/>
    <w:rsid w:val="00060B64"/>
    <w:rsid w:val="000827F1"/>
    <w:rsid w:val="000866B5"/>
    <w:rsid w:val="00091A5D"/>
    <w:rsid w:val="000930CE"/>
    <w:rsid w:val="000C0E0F"/>
    <w:rsid w:val="000E3175"/>
    <w:rsid w:val="000E6006"/>
    <w:rsid w:val="000E718B"/>
    <w:rsid w:val="000F338F"/>
    <w:rsid w:val="00104088"/>
    <w:rsid w:val="001049AC"/>
    <w:rsid w:val="00105D7A"/>
    <w:rsid w:val="001316EF"/>
    <w:rsid w:val="001471E0"/>
    <w:rsid w:val="00151F3B"/>
    <w:rsid w:val="00170D3E"/>
    <w:rsid w:val="00175495"/>
    <w:rsid w:val="00181299"/>
    <w:rsid w:val="00190E99"/>
    <w:rsid w:val="001940E5"/>
    <w:rsid w:val="001963F9"/>
    <w:rsid w:val="001C22E1"/>
    <w:rsid w:val="001E1AEA"/>
    <w:rsid w:val="001F1986"/>
    <w:rsid w:val="002151A3"/>
    <w:rsid w:val="0021531F"/>
    <w:rsid w:val="00220B8F"/>
    <w:rsid w:val="00231683"/>
    <w:rsid w:val="00257D2B"/>
    <w:rsid w:val="002A3E49"/>
    <w:rsid w:val="002A477F"/>
    <w:rsid w:val="002A5A50"/>
    <w:rsid w:val="002C07CC"/>
    <w:rsid w:val="002C3098"/>
    <w:rsid w:val="002D36D9"/>
    <w:rsid w:val="00334C9C"/>
    <w:rsid w:val="00344CD5"/>
    <w:rsid w:val="00351901"/>
    <w:rsid w:val="00395CA6"/>
    <w:rsid w:val="003A0319"/>
    <w:rsid w:val="003A3617"/>
    <w:rsid w:val="003A39F1"/>
    <w:rsid w:val="003A4E26"/>
    <w:rsid w:val="003C4289"/>
    <w:rsid w:val="003D0D26"/>
    <w:rsid w:val="003D2E3C"/>
    <w:rsid w:val="003D6A91"/>
    <w:rsid w:val="003E1563"/>
    <w:rsid w:val="003F064C"/>
    <w:rsid w:val="003F291E"/>
    <w:rsid w:val="004073B5"/>
    <w:rsid w:val="0042137D"/>
    <w:rsid w:val="00435C50"/>
    <w:rsid w:val="004402C0"/>
    <w:rsid w:val="004A54D2"/>
    <w:rsid w:val="004B52AE"/>
    <w:rsid w:val="004D7121"/>
    <w:rsid w:val="004D752C"/>
    <w:rsid w:val="004F6A32"/>
    <w:rsid w:val="00512249"/>
    <w:rsid w:val="005313B2"/>
    <w:rsid w:val="00536B8E"/>
    <w:rsid w:val="00554A25"/>
    <w:rsid w:val="00565413"/>
    <w:rsid w:val="005803F0"/>
    <w:rsid w:val="005B46E4"/>
    <w:rsid w:val="005B702F"/>
    <w:rsid w:val="005D21E9"/>
    <w:rsid w:val="005F7C6C"/>
    <w:rsid w:val="00600411"/>
    <w:rsid w:val="00602932"/>
    <w:rsid w:val="0060786C"/>
    <w:rsid w:val="00642898"/>
    <w:rsid w:val="00645116"/>
    <w:rsid w:val="00656800"/>
    <w:rsid w:val="00663FE4"/>
    <w:rsid w:val="00671FCA"/>
    <w:rsid w:val="0068313B"/>
    <w:rsid w:val="00684D71"/>
    <w:rsid w:val="006B29E7"/>
    <w:rsid w:val="006B5399"/>
    <w:rsid w:val="006C6077"/>
    <w:rsid w:val="006C661E"/>
    <w:rsid w:val="006D6A7A"/>
    <w:rsid w:val="006E25AD"/>
    <w:rsid w:val="006F0E0A"/>
    <w:rsid w:val="00707393"/>
    <w:rsid w:val="007323B0"/>
    <w:rsid w:val="00736F26"/>
    <w:rsid w:val="00740E30"/>
    <w:rsid w:val="00760749"/>
    <w:rsid w:val="00770198"/>
    <w:rsid w:val="00771C0E"/>
    <w:rsid w:val="00797047"/>
    <w:rsid w:val="007A0FEF"/>
    <w:rsid w:val="007B13BD"/>
    <w:rsid w:val="007B22AB"/>
    <w:rsid w:val="007C3DB0"/>
    <w:rsid w:val="0080515A"/>
    <w:rsid w:val="00814361"/>
    <w:rsid w:val="008146D3"/>
    <w:rsid w:val="00817149"/>
    <w:rsid w:val="00827CC8"/>
    <w:rsid w:val="008412C3"/>
    <w:rsid w:val="00845367"/>
    <w:rsid w:val="00875A0D"/>
    <w:rsid w:val="00875FAE"/>
    <w:rsid w:val="00882C36"/>
    <w:rsid w:val="008A3E02"/>
    <w:rsid w:val="008A5FD1"/>
    <w:rsid w:val="008E799F"/>
    <w:rsid w:val="008F0E9C"/>
    <w:rsid w:val="00903308"/>
    <w:rsid w:val="009119EA"/>
    <w:rsid w:val="0091231D"/>
    <w:rsid w:val="00912822"/>
    <w:rsid w:val="00913823"/>
    <w:rsid w:val="0091552F"/>
    <w:rsid w:val="0092332D"/>
    <w:rsid w:val="00940A0F"/>
    <w:rsid w:val="009571E8"/>
    <w:rsid w:val="009661E8"/>
    <w:rsid w:val="00983CDC"/>
    <w:rsid w:val="009B286E"/>
    <w:rsid w:val="009B3259"/>
    <w:rsid w:val="009D30BD"/>
    <w:rsid w:val="009F4091"/>
    <w:rsid w:val="009F5C97"/>
    <w:rsid w:val="00A01E62"/>
    <w:rsid w:val="00A12956"/>
    <w:rsid w:val="00A332D7"/>
    <w:rsid w:val="00A365E8"/>
    <w:rsid w:val="00A44883"/>
    <w:rsid w:val="00A60938"/>
    <w:rsid w:val="00A71B8A"/>
    <w:rsid w:val="00A737FA"/>
    <w:rsid w:val="00A85FB6"/>
    <w:rsid w:val="00A96856"/>
    <w:rsid w:val="00AA15AC"/>
    <w:rsid w:val="00AA6F22"/>
    <w:rsid w:val="00AB10C8"/>
    <w:rsid w:val="00AB5F16"/>
    <w:rsid w:val="00AC0022"/>
    <w:rsid w:val="00AC4B8F"/>
    <w:rsid w:val="00AF08E0"/>
    <w:rsid w:val="00AF1755"/>
    <w:rsid w:val="00AF354F"/>
    <w:rsid w:val="00B81715"/>
    <w:rsid w:val="00B852BA"/>
    <w:rsid w:val="00B906D3"/>
    <w:rsid w:val="00B92196"/>
    <w:rsid w:val="00BA0C30"/>
    <w:rsid w:val="00BA4228"/>
    <w:rsid w:val="00BB3C94"/>
    <w:rsid w:val="00BB78B9"/>
    <w:rsid w:val="00BD2847"/>
    <w:rsid w:val="00BE39AA"/>
    <w:rsid w:val="00C053C2"/>
    <w:rsid w:val="00C42197"/>
    <w:rsid w:val="00C4698D"/>
    <w:rsid w:val="00C4713F"/>
    <w:rsid w:val="00C73066"/>
    <w:rsid w:val="00C82590"/>
    <w:rsid w:val="00CB086C"/>
    <w:rsid w:val="00CC5FAA"/>
    <w:rsid w:val="00CE33AE"/>
    <w:rsid w:val="00D00967"/>
    <w:rsid w:val="00D0312B"/>
    <w:rsid w:val="00D26499"/>
    <w:rsid w:val="00D571FB"/>
    <w:rsid w:val="00D65656"/>
    <w:rsid w:val="00D67AC2"/>
    <w:rsid w:val="00D71B27"/>
    <w:rsid w:val="00D85188"/>
    <w:rsid w:val="00DA3DEA"/>
    <w:rsid w:val="00DB710E"/>
    <w:rsid w:val="00DC2DAE"/>
    <w:rsid w:val="00DD42AB"/>
    <w:rsid w:val="00DE742D"/>
    <w:rsid w:val="00E0764D"/>
    <w:rsid w:val="00E107E3"/>
    <w:rsid w:val="00E117D6"/>
    <w:rsid w:val="00E270C1"/>
    <w:rsid w:val="00E558CF"/>
    <w:rsid w:val="00EA08BC"/>
    <w:rsid w:val="00EB58ED"/>
    <w:rsid w:val="00EC2F83"/>
    <w:rsid w:val="00F11FBC"/>
    <w:rsid w:val="00F22956"/>
    <w:rsid w:val="00F26F43"/>
    <w:rsid w:val="00F27D54"/>
    <w:rsid w:val="00F43B78"/>
    <w:rsid w:val="00F4734D"/>
    <w:rsid w:val="00F628B5"/>
    <w:rsid w:val="00F90AA9"/>
    <w:rsid w:val="00FA19D1"/>
    <w:rsid w:val="00FB4819"/>
    <w:rsid w:val="00FB5423"/>
    <w:rsid w:val="00FB5994"/>
    <w:rsid w:val="00FC263D"/>
    <w:rsid w:val="00FC784C"/>
    <w:rsid w:val="00FD61D3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4CE"/>
    <w:rPr>
      <w:rFonts w:eastAsiaTheme="minorHAns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0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9"/>
    <w:qFormat/>
    <w:rsid w:val="00912822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Book Antiqua"/>
      <w:b/>
      <w:bCs/>
      <w:color w:val="FF000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0F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E25"/>
  </w:style>
  <w:style w:type="paragraph" w:styleId="Zpat">
    <w:name w:val="footer"/>
    <w:basedOn w:val="Normln"/>
    <w:link w:val="ZpatChar"/>
    <w:rsid w:val="00875A0D"/>
    <w:pPr>
      <w:tabs>
        <w:tab w:val="center" w:pos="4536"/>
        <w:tab w:val="right" w:pos="9072"/>
      </w:tabs>
      <w:spacing w:after="0" w:line="288" w:lineRule="auto"/>
    </w:pPr>
    <w:rPr>
      <w:rFonts w:ascii="Century Gothic" w:hAnsi="Century Gothic"/>
      <w:color w:val="6D6E70"/>
      <w:sz w:val="16"/>
    </w:rPr>
  </w:style>
  <w:style w:type="character" w:customStyle="1" w:styleId="ZpatChar">
    <w:name w:val="Zápatí Char"/>
    <w:basedOn w:val="Standardnpsmoodstavce"/>
    <w:link w:val="Zpat"/>
    <w:rsid w:val="00875A0D"/>
    <w:rPr>
      <w:rFonts w:ascii="Century Gothic" w:hAnsi="Century Gothic"/>
      <w:color w:val="6D6E7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prvy">
    <w:name w:val="Text zprávy"/>
    <w:basedOn w:val="Normln"/>
    <w:qFormat/>
    <w:rsid w:val="00FB5994"/>
    <w:pPr>
      <w:spacing w:after="0" w:line="336" w:lineRule="auto"/>
      <w:jc w:val="both"/>
    </w:pPr>
    <w:rPr>
      <w:rFonts w:ascii="Century Gothic" w:hAnsi="Century Gothic"/>
      <w:sz w:val="18"/>
      <w:szCs w:val="18"/>
    </w:rPr>
  </w:style>
  <w:style w:type="character" w:customStyle="1" w:styleId="erven">
    <w:name w:val="Červená"/>
    <w:basedOn w:val="Standardnpsmoodstavce"/>
    <w:uiPriority w:val="1"/>
    <w:qFormat/>
    <w:rsid w:val="00875A0D"/>
    <w:rPr>
      <w:color w:val="E10E49"/>
    </w:rPr>
  </w:style>
  <w:style w:type="character" w:customStyle="1" w:styleId="Modr">
    <w:name w:val="Modrá"/>
    <w:basedOn w:val="erven"/>
    <w:uiPriority w:val="1"/>
    <w:qFormat/>
    <w:rsid w:val="00875A0D"/>
    <w:rPr>
      <w:color w:val="0065BD"/>
    </w:rPr>
  </w:style>
  <w:style w:type="character" w:styleId="Hypertextovodkaz">
    <w:name w:val="Hyperlink"/>
    <w:basedOn w:val="Standardnpsmoodstavce"/>
    <w:uiPriority w:val="99"/>
    <w:unhideWhenUsed/>
    <w:rsid w:val="0068313B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AF354F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F354F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AF35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354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12822"/>
    <w:pPr>
      <w:spacing w:after="0" w:line="240" w:lineRule="auto"/>
      <w:ind w:left="240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12822"/>
    <w:rPr>
      <w:rFonts w:ascii="Arial" w:eastAsia="Times New Roman" w:hAnsi="Arial" w:cs="Arial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9128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1282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822"/>
    <w:rPr>
      <w:rFonts w:ascii="Book Antiqua" w:eastAsia="Times New Roman" w:hAnsi="Book Antiqua" w:cs="Book Antiqua"/>
      <w:b/>
      <w:bCs/>
      <w:color w:val="FF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0F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0F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51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5188"/>
    <w:rPr>
      <w:rFonts w:eastAsiaTheme="minorHAns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51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5188"/>
    <w:rPr>
      <w:rFonts w:eastAsiaTheme="minorHAnsi"/>
    </w:rPr>
  </w:style>
  <w:style w:type="paragraph" w:styleId="Odstavecseseznamem">
    <w:name w:val="List Paragraph"/>
    <w:basedOn w:val="Normln"/>
    <w:uiPriority w:val="34"/>
    <w:unhideWhenUsed/>
    <w:qFormat/>
    <w:rsid w:val="00FC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4CE"/>
    <w:rPr>
      <w:rFonts w:eastAsiaTheme="minorHAns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0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9"/>
    <w:qFormat/>
    <w:rsid w:val="00912822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Book Antiqua"/>
      <w:b/>
      <w:bCs/>
      <w:color w:val="FF000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0F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E25"/>
  </w:style>
  <w:style w:type="paragraph" w:styleId="Zpat">
    <w:name w:val="footer"/>
    <w:basedOn w:val="Normln"/>
    <w:link w:val="ZpatChar"/>
    <w:rsid w:val="00875A0D"/>
    <w:pPr>
      <w:tabs>
        <w:tab w:val="center" w:pos="4536"/>
        <w:tab w:val="right" w:pos="9072"/>
      </w:tabs>
      <w:spacing w:after="0" w:line="288" w:lineRule="auto"/>
    </w:pPr>
    <w:rPr>
      <w:rFonts w:ascii="Century Gothic" w:hAnsi="Century Gothic"/>
      <w:color w:val="6D6E70"/>
      <w:sz w:val="16"/>
    </w:rPr>
  </w:style>
  <w:style w:type="character" w:customStyle="1" w:styleId="ZpatChar">
    <w:name w:val="Zápatí Char"/>
    <w:basedOn w:val="Standardnpsmoodstavce"/>
    <w:link w:val="Zpat"/>
    <w:rsid w:val="00875A0D"/>
    <w:rPr>
      <w:rFonts w:ascii="Century Gothic" w:hAnsi="Century Gothic"/>
      <w:color w:val="6D6E7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prvy">
    <w:name w:val="Text zprávy"/>
    <w:basedOn w:val="Normln"/>
    <w:qFormat/>
    <w:rsid w:val="00FB5994"/>
    <w:pPr>
      <w:spacing w:after="0" w:line="336" w:lineRule="auto"/>
      <w:jc w:val="both"/>
    </w:pPr>
    <w:rPr>
      <w:rFonts w:ascii="Century Gothic" w:hAnsi="Century Gothic"/>
      <w:sz w:val="18"/>
      <w:szCs w:val="18"/>
    </w:rPr>
  </w:style>
  <w:style w:type="character" w:customStyle="1" w:styleId="erven">
    <w:name w:val="Červená"/>
    <w:basedOn w:val="Standardnpsmoodstavce"/>
    <w:uiPriority w:val="1"/>
    <w:qFormat/>
    <w:rsid w:val="00875A0D"/>
    <w:rPr>
      <w:color w:val="E10E49"/>
    </w:rPr>
  </w:style>
  <w:style w:type="character" w:customStyle="1" w:styleId="Modr">
    <w:name w:val="Modrá"/>
    <w:basedOn w:val="erven"/>
    <w:uiPriority w:val="1"/>
    <w:qFormat/>
    <w:rsid w:val="00875A0D"/>
    <w:rPr>
      <w:color w:val="0065BD"/>
    </w:rPr>
  </w:style>
  <w:style w:type="character" w:styleId="Hypertextovodkaz">
    <w:name w:val="Hyperlink"/>
    <w:basedOn w:val="Standardnpsmoodstavce"/>
    <w:uiPriority w:val="99"/>
    <w:unhideWhenUsed/>
    <w:rsid w:val="0068313B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AF354F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F354F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AF35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354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12822"/>
    <w:pPr>
      <w:spacing w:after="0" w:line="240" w:lineRule="auto"/>
      <w:ind w:left="240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12822"/>
    <w:rPr>
      <w:rFonts w:ascii="Arial" w:eastAsia="Times New Roman" w:hAnsi="Arial" w:cs="Arial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9128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1282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822"/>
    <w:rPr>
      <w:rFonts w:ascii="Book Antiqua" w:eastAsia="Times New Roman" w:hAnsi="Book Antiqua" w:cs="Book Antiqua"/>
      <w:b/>
      <w:bCs/>
      <w:color w:val="FF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0F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0F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51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5188"/>
    <w:rPr>
      <w:rFonts w:eastAsiaTheme="minorHAns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51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5188"/>
    <w:rPr>
      <w:rFonts w:eastAsiaTheme="minorHAnsi"/>
    </w:rPr>
  </w:style>
  <w:style w:type="paragraph" w:styleId="Odstavecseseznamem">
    <w:name w:val="List Paragraph"/>
    <w:basedOn w:val="Normln"/>
    <w:uiPriority w:val="34"/>
    <w:unhideWhenUsed/>
    <w:qFormat/>
    <w:rsid w:val="00FC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F4CA-7D20-4BD1-ABB4-4EF3ABB5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Braun Petr </cp:lastModifiedBy>
  <cp:revision>4</cp:revision>
  <cp:lastPrinted>2018-03-12T13:36:00Z</cp:lastPrinted>
  <dcterms:created xsi:type="dcterms:W3CDTF">2018-03-12T13:33:00Z</dcterms:created>
  <dcterms:modified xsi:type="dcterms:W3CDTF">2018-03-12T13:38:00Z</dcterms:modified>
</cp:coreProperties>
</file>