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297" w:rsidRPr="00B20D14" w:rsidRDefault="00532297" w:rsidP="00B20D14">
      <w:pPr>
        <w:pStyle w:val="Zkladntext"/>
        <w:pBdr>
          <w:top w:val="single" w:sz="2" w:space="1" w:color="auto"/>
          <w:left w:val="single" w:sz="2" w:space="2" w:color="auto"/>
          <w:bottom w:val="single" w:sz="2" w:space="1" w:color="auto"/>
          <w:right w:val="single" w:sz="2" w:space="4" w:color="auto"/>
        </w:pBdr>
        <w:shd w:val="clear" w:color="auto" w:fill="000080"/>
        <w:jc w:val="center"/>
        <w:rPr>
          <w:emboss/>
          <w:szCs w:val="24"/>
        </w:rPr>
      </w:pPr>
    </w:p>
    <w:p w:rsidR="002D2125" w:rsidRPr="00B20D14" w:rsidRDefault="002D2125" w:rsidP="00B20D14">
      <w:pPr>
        <w:pStyle w:val="Zkladntext"/>
        <w:pBdr>
          <w:top w:val="single" w:sz="2" w:space="1" w:color="auto"/>
          <w:left w:val="single" w:sz="2" w:space="2" w:color="auto"/>
          <w:bottom w:val="single" w:sz="2" w:space="1" w:color="auto"/>
          <w:right w:val="single" w:sz="2" w:space="4" w:color="auto"/>
        </w:pBdr>
        <w:shd w:val="clear" w:color="auto" w:fill="000080"/>
        <w:spacing w:after="120" w:line="360" w:lineRule="auto"/>
        <w:jc w:val="center"/>
        <w:rPr>
          <w:emboss/>
          <w:sz w:val="28"/>
          <w:szCs w:val="24"/>
        </w:rPr>
      </w:pPr>
      <w:r w:rsidRPr="00B20D14">
        <w:rPr>
          <w:emboss/>
          <w:sz w:val="28"/>
          <w:szCs w:val="24"/>
        </w:rPr>
        <w:t>Odůvodnění veřejné zakázky</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2D2125" w:rsidRPr="00B20D14" w:rsidTr="002D2125">
        <w:tc>
          <w:tcPr>
            <w:tcW w:w="9322" w:type="dxa"/>
            <w:gridSpan w:val="2"/>
          </w:tcPr>
          <w:p w:rsidR="002D2125" w:rsidRPr="00B20D14" w:rsidRDefault="002D2125" w:rsidP="00602C6F">
            <w:pPr>
              <w:pStyle w:val="Odstavecseseznamem"/>
              <w:ind w:left="0"/>
              <w:jc w:val="center"/>
              <w:rPr>
                <w:b/>
              </w:rPr>
            </w:pPr>
            <w:r w:rsidRPr="00B20D14">
              <w:rPr>
                <w:b/>
              </w:rPr>
              <w:t>Odůvodnění účelnosti veřejné zakázky</w:t>
            </w:r>
          </w:p>
        </w:tc>
      </w:tr>
      <w:tr w:rsidR="002D2125" w:rsidRPr="00B20D14" w:rsidTr="00757060">
        <w:trPr>
          <w:trHeight w:val="1020"/>
        </w:trPr>
        <w:tc>
          <w:tcPr>
            <w:tcW w:w="3794" w:type="dxa"/>
          </w:tcPr>
          <w:p w:rsidR="002D2125" w:rsidRPr="00B20D14" w:rsidRDefault="00220BCF" w:rsidP="00123670">
            <w:pPr>
              <w:pStyle w:val="Odstavecseseznamem"/>
              <w:spacing w:before="60" w:after="60"/>
              <w:ind w:left="0"/>
              <w:jc w:val="both"/>
              <w:rPr>
                <w:color w:val="FF0000"/>
              </w:rPr>
            </w:pPr>
            <w:r w:rsidRPr="00B20D14">
              <w:t>Popis potřeb, které mají být splněním veřejné zakázky naplněny</w:t>
            </w:r>
            <w:r w:rsidR="002D2125" w:rsidRPr="00B20D14">
              <w:t>.</w:t>
            </w:r>
          </w:p>
        </w:tc>
        <w:tc>
          <w:tcPr>
            <w:tcW w:w="5528" w:type="dxa"/>
          </w:tcPr>
          <w:p w:rsidR="00C76F4D" w:rsidRPr="00AC36D3" w:rsidRDefault="006D5168" w:rsidP="00123670">
            <w:pPr>
              <w:pStyle w:val="Odstavecseseznamem"/>
              <w:spacing w:before="60" w:after="60"/>
              <w:ind w:left="0"/>
              <w:jc w:val="both"/>
              <w:rPr>
                <w:i/>
              </w:rPr>
            </w:pPr>
            <w:r w:rsidRPr="00AC36D3">
              <w:rPr>
                <w:i/>
              </w:rPr>
              <w:t>Cílem veřejné zakázky je zabezpečení technického zázemí v resortu Ministerstva práce a sociálních věcí ČR nezbytného k podpoření agend v oblasti zaměstnanosti a trhu práce a související evidence, konkrétně vytvoření Systému a zajištění jeho následné podpory provozu a rozvoje. Splněním veřejné zakázky budou naplněny potřeby zadavatele a podpořeny agendy v oblasti zaměstnanosti a trhu práce, jak jsou popsány dle zákona č. 435/2004 Sb., o zaměstnanosti a související evidence, ve znění pozdějších předpisů a dle zákona č. 73/2011 Sb., o Úřadu práce ČR, ve znění pozdějších předpisů</w:t>
            </w:r>
            <w:r w:rsidR="00340894" w:rsidRPr="00AC36D3">
              <w:rPr>
                <w:i/>
              </w:rPr>
              <w:t>.</w:t>
            </w:r>
          </w:p>
        </w:tc>
      </w:tr>
      <w:tr w:rsidR="00220BCF" w:rsidRPr="00B20D14" w:rsidTr="00757060">
        <w:trPr>
          <w:trHeight w:val="1020"/>
        </w:trPr>
        <w:tc>
          <w:tcPr>
            <w:tcW w:w="3794" w:type="dxa"/>
          </w:tcPr>
          <w:p w:rsidR="00220BCF" w:rsidRPr="00B20D14" w:rsidDel="00220BCF" w:rsidRDefault="00220BCF" w:rsidP="00123670">
            <w:pPr>
              <w:pStyle w:val="Odstavecseseznamem"/>
              <w:spacing w:before="60" w:after="60"/>
              <w:ind w:left="0"/>
              <w:jc w:val="both"/>
            </w:pPr>
            <w:r w:rsidRPr="00B20D14">
              <w:t>Popis předmětu veřejné zakázky</w:t>
            </w:r>
          </w:p>
        </w:tc>
        <w:tc>
          <w:tcPr>
            <w:tcW w:w="5528" w:type="dxa"/>
          </w:tcPr>
          <w:p w:rsidR="00B62CF9" w:rsidRPr="00AC36D3" w:rsidRDefault="00B62CF9" w:rsidP="00B62CF9">
            <w:pPr>
              <w:spacing w:before="120" w:line="280" w:lineRule="atLeast"/>
              <w:rPr>
                <w:i/>
              </w:rPr>
            </w:pPr>
            <w:r w:rsidRPr="00AC36D3">
              <w:rPr>
                <w:i/>
              </w:rPr>
              <w:t>Předmětem veřejné zakázky je vytvoření Jednotného informačního systému práce a sociálních věcí – IS ZAMĚSTNANOST (dále jen „Systém“) a zajištění jeho následné podpory provozu a rozvoje. Předmět této veřejné zakázky zahrnuje následující části:</w:t>
            </w:r>
          </w:p>
          <w:p w:rsidR="006D414B" w:rsidRPr="00AC36D3" w:rsidRDefault="006D414B" w:rsidP="006D414B">
            <w:pPr>
              <w:pStyle w:val="Odstavecseseznamem"/>
              <w:numPr>
                <w:ilvl w:val="0"/>
                <w:numId w:val="18"/>
              </w:numPr>
              <w:spacing w:before="120" w:line="280" w:lineRule="atLeast"/>
              <w:jc w:val="both"/>
              <w:rPr>
                <w:i/>
              </w:rPr>
            </w:pPr>
            <w:r w:rsidRPr="00AC36D3">
              <w:rPr>
                <w:i/>
              </w:rPr>
              <w:t>provedení detailní analýzy a vytvoření detailního návrhu Systému;</w:t>
            </w:r>
          </w:p>
          <w:p w:rsidR="006D414B" w:rsidRPr="00AC36D3" w:rsidRDefault="006D414B" w:rsidP="006D414B">
            <w:pPr>
              <w:pStyle w:val="Odstavecseseznamem"/>
              <w:numPr>
                <w:ilvl w:val="0"/>
                <w:numId w:val="18"/>
              </w:numPr>
              <w:spacing w:before="120" w:line="280" w:lineRule="atLeast"/>
              <w:jc w:val="both"/>
              <w:rPr>
                <w:i/>
              </w:rPr>
            </w:pPr>
            <w:r w:rsidRPr="00AC36D3">
              <w:rPr>
                <w:i/>
              </w:rPr>
              <w:t>vytvoření, dodání a zprovoznění prototypu Systému v</w:t>
            </w:r>
            <w:r w:rsidRPr="006D414B">
              <w:rPr>
                <w:i/>
              </w:rPr>
              <w:t xml:space="preserve"> </w:t>
            </w:r>
            <w:r w:rsidRPr="00AC36D3">
              <w:rPr>
                <w:i/>
              </w:rPr>
              <w:t>prostředí dodavatele, včetně</w:t>
            </w:r>
            <w:r w:rsidRPr="006D414B">
              <w:rPr>
                <w:i/>
              </w:rPr>
              <w:t xml:space="preserve"> </w:t>
            </w:r>
            <w:r w:rsidRPr="00AC36D3">
              <w:rPr>
                <w:i/>
              </w:rPr>
              <w:t>interakce se zdroji dat zadavatele či třetích osob</w:t>
            </w:r>
            <w:r w:rsidRPr="006D414B">
              <w:rPr>
                <w:i/>
              </w:rPr>
              <w:t xml:space="preserve"> a úvodní migrace dat v nezbytném rozsahu</w:t>
            </w:r>
            <w:r w:rsidRPr="00AC36D3">
              <w:rPr>
                <w:i/>
              </w:rPr>
              <w:t>;</w:t>
            </w:r>
          </w:p>
          <w:p w:rsidR="006D414B" w:rsidRPr="00AC36D3" w:rsidRDefault="006D414B" w:rsidP="006D414B">
            <w:pPr>
              <w:pStyle w:val="Odstavecseseznamem"/>
              <w:numPr>
                <w:ilvl w:val="0"/>
                <w:numId w:val="18"/>
              </w:numPr>
              <w:spacing w:before="120" w:line="280" w:lineRule="atLeast"/>
              <w:jc w:val="both"/>
              <w:rPr>
                <w:i/>
              </w:rPr>
            </w:pPr>
            <w:r w:rsidRPr="00AC36D3">
              <w:rPr>
                <w:i/>
              </w:rPr>
              <w:t>vytvoření, dodání a zprovoznění Systému v</w:t>
            </w:r>
            <w:r w:rsidRPr="006D414B">
              <w:rPr>
                <w:i/>
              </w:rPr>
              <w:t xml:space="preserve"> </w:t>
            </w:r>
            <w:r w:rsidRPr="00AC36D3">
              <w:rPr>
                <w:i/>
              </w:rPr>
              <w:t>prostředí zadavatele, včetně interakce se zdroji dat zadavatele či třetích osob</w:t>
            </w:r>
            <w:r w:rsidRPr="006D414B">
              <w:rPr>
                <w:i/>
              </w:rPr>
              <w:t xml:space="preserve"> a kompletní migrace dat do Systému</w:t>
            </w:r>
            <w:r w:rsidRPr="00AC36D3">
              <w:rPr>
                <w:i/>
              </w:rPr>
              <w:t>;</w:t>
            </w:r>
          </w:p>
          <w:p w:rsidR="006D414B" w:rsidRPr="00AC36D3" w:rsidRDefault="006D414B" w:rsidP="006D414B">
            <w:pPr>
              <w:pStyle w:val="Odstavecseseznamem"/>
              <w:numPr>
                <w:ilvl w:val="0"/>
                <w:numId w:val="18"/>
              </w:numPr>
              <w:spacing w:before="120" w:line="280" w:lineRule="atLeast"/>
              <w:jc w:val="both"/>
              <w:rPr>
                <w:i/>
              </w:rPr>
            </w:pPr>
            <w:r w:rsidRPr="00AC36D3">
              <w:rPr>
                <w:i/>
              </w:rPr>
              <w:t>vytvoření a dodání administrátorské, uživatelské</w:t>
            </w:r>
            <w:r w:rsidRPr="006D414B">
              <w:rPr>
                <w:i/>
              </w:rPr>
              <w:t>,</w:t>
            </w:r>
            <w:r w:rsidRPr="00AC36D3">
              <w:rPr>
                <w:i/>
              </w:rPr>
              <w:t xml:space="preserve"> provozní </w:t>
            </w:r>
            <w:r w:rsidRPr="006D414B">
              <w:rPr>
                <w:i/>
              </w:rPr>
              <w:t xml:space="preserve">a školící </w:t>
            </w:r>
            <w:r w:rsidRPr="00AC36D3">
              <w:rPr>
                <w:i/>
              </w:rPr>
              <w:t>dokumentace vztahující se k</w:t>
            </w:r>
            <w:r w:rsidRPr="006D414B">
              <w:rPr>
                <w:i/>
              </w:rPr>
              <w:t xml:space="preserve"> </w:t>
            </w:r>
            <w:r w:rsidRPr="00AC36D3">
              <w:rPr>
                <w:i/>
              </w:rPr>
              <w:t>Systému;</w:t>
            </w:r>
          </w:p>
          <w:p w:rsidR="006D414B" w:rsidRPr="00AC36D3" w:rsidRDefault="006D414B" w:rsidP="006D414B">
            <w:pPr>
              <w:pStyle w:val="Odstavecseseznamem"/>
              <w:numPr>
                <w:ilvl w:val="0"/>
                <w:numId w:val="18"/>
              </w:numPr>
              <w:spacing w:before="120" w:line="280" w:lineRule="atLeast"/>
              <w:jc w:val="both"/>
              <w:rPr>
                <w:i/>
              </w:rPr>
            </w:pPr>
            <w:r w:rsidRPr="00AC36D3">
              <w:rPr>
                <w:i/>
              </w:rPr>
              <w:t>poskytnutí služeb provozu</w:t>
            </w:r>
            <w:r w:rsidRPr="006D414B">
              <w:rPr>
                <w:i/>
              </w:rPr>
              <w:t>,</w:t>
            </w:r>
            <w:r w:rsidRPr="00AC36D3">
              <w:rPr>
                <w:i/>
              </w:rPr>
              <w:t xml:space="preserve"> správy </w:t>
            </w:r>
            <w:r w:rsidRPr="006D414B">
              <w:rPr>
                <w:i/>
              </w:rPr>
              <w:t xml:space="preserve">a údržby </w:t>
            </w:r>
            <w:r w:rsidRPr="00AC36D3">
              <w:rPr>
                <w:i/>
              </w:rPr>
              <w:t>Systému</w:t>
            </w:r>
            <w:r w:rsidRPr="006D414B">
              <w:rPr>
                <w:i/>
              </w:rPr>
              <w:t xml:space="preserve"> a</w:t>
            </w:r>
            <w:r w:rsidRPr="00AC36D3">
              <w:rPr>
                <w:i/>
              </w:rPr>
              <w:t xml:space="preserve"> podpory jeho uživatelů po jeho uvedení do provozu;</w:t>
            </w:r>
          </w:p>
          <w:p w:rsidR="006D414B" w:rsidRPr="00AC36D3" w:rsidRDefault="006D414B" w:rsidP="006D414B">
            <w:pPr>
              <w:pStyle w:val="Odstavecseseznamem"/>
              <w:numPr>
                <w:ilvl w:val="0"/>
                <w:numId w:val="18"/>
              </w:numPr>
              <w:spacing w:before="120" w:line="280" w:lineRule="atLeast"/>
              <w:jc w:val="both"/>
              <w:rPr>
                <w:i/>
              </w:rPr>
            </w:pPr>
            <w:r w:rsidRPr="00AC36D3">
              <w:rPr>
                <w:i/>
              </w:rPr>
              <w:t>poskytnutí služeb rozvoje Systému, a to na základě změnových požadavků;</w:t>
            </w:r>
            <w:r w:rsidRPr="006D414B">
              <w:rPr>
                <w:i/>
              </w:rPr>
              <w:t xml:space="preserve"> </w:t>
            </w:r>
          </w:p>
          <w:p w:rsidR="00220BCF" w:rsidRPr="00AC36D3" w:rsidRDefault="006D414B" w:rsidP="006D5168">
            <w:pPr>
              <w:pStyle w:val="Odstavecseseznamem"/>
              <w:numPr>
                <w:ilvl w:val="0"/>
                <w:numId w:val="18"/>
              </w:numPr>
              <w:spacing w:before="120" w:line="280" w:lineRule="atLeast"/>
              <w:jc w:val="both"/>
              <w:rPr>
                <w:i/>
              </w:rPr>
            </w:pPr>
            <w:r w:rsidRPr="00AC36D3">
              <w:rPr>
                <w:i/>
              </w:rPr>
              <w:t xml:space="preserve">poskytnutí školení pro </w:t>
            </w:r>
            <w:r w:rsidRPr="006D414B">
              <w:rPr>
                <w:i/>
              </w:rPr>
              <w:t xml:space="preserve">klíčové uživatele, metodiky, správce a koncové </w:t>
            </w:r>
            <w:r w:rsidRPr="00AC36D3">
              <w:rPr>
                <w:i/>
              </w:rPr>
              <w:t>uživatele Systému.</w:t>
            </w:r>
          </w:p>
        </w:tc>
      </w:tr>
      <w:tr w:rsidR="002D2125" w:rsidRPr="00B20D14" w:rsidTr="00757060">
        <w:trPr>
          <w:trHeight w:val="1020"/>
        </w:trPr>
        <w:tc>
          <w:tcPr>
            <w:tcW w:w="3794" w:type="dxa"/>
          </w:tcPr>
          <w:p w:rsidR="002D2125" w:rsidRPr="00B20D14" w:rsidRDefault="002D2125" w:rsidP="00123670">
            <w:pPr>
              <w:pStyle w:val="Odstavecseseznamem"/>
              <w:spacing w:before="60" w:after="60"/>
              <w:ind w:left="0"/>
              <w:jc w:val="both"/>
              <w:rPr>
                <w:color w:val="FF0000"/>
              </w:rPr>
            </w:pPr>
            <w:r w:rsidRPr="00B20D14">
              <w:t xml:space="preserve">Popis vzájemného vztahu </w:t>
            </w:r>
            <w:r w:rsidR="00220BCF" w:rsidRPr="00B20D14">
              <w:t>předmětu veřejné zakázky a potřeb zadavatele</w:t>
            </w:r>
            <w:r w:rsidRPr="00B20D14">
              <w:t>.</w:t>
            </w:r>
          </w:p>
        </w:tc>
        <w:tc>
          <w:tcPr>
            <w:tcW w:w="5528" w:type="dxa"/>
          </w:tcPr>
          <w:p w:rsidR="002D2125" w:rsidRPr="00AC36D3" w:rsidRDefault="00B23563" w:rsidP="00123670">
            <w:pPr>
              <w:pStyle w:val="Odstavecseseznamem"/>
              <w:spacing w:before="60" w:after="60"/>
              <w:ind w:left="0"/>
              <w:jc w:val="both"/>
              <w:rPr>
                <w:i/>
              </w:rPr>
            </w:pPr>
            <w:r w:rsidRPr="00AC36D3">
              <w:rPr>
                <w:i/>
              </w:rPr>
              <w:t>Realizací veřejné zakázky dojde k přímému naplnění cíle veřejné zakázky a tím i potřeb zadavatele na zabezpečení technického zázemí resortu Ministerstva práce a sociálních věcí ČR nezbytného k podpoře agend v oblasti zaměstnanosti a trhu práce a související evidence</w:t>
            </w:r>
            <w:r w:rsidR="00286FDE" w:rsidRPr="00AC36D3">
              <w:rPr>
                <w:i/>
              </w:rPr>
              <w:t>.</w:t>
            </w:r>
          </w:p>
        </w:tc>
      </w:tr>
      <w:tr w:rsidR="002D2125" w:rsidRPr="00B20D14" w:rsidTr="00757060">
        <w:trPr>
          <w:trHeight w:val="1020"/>
        </w:trPr>
        <w:tc>
          <w:tcPr>
            <w:tcW w:w="3794" w:type="dxa"/>
          </w:tcPr>
          <w:p w:rsidR="002D2125" w:rsidRPr="00B20D14" w:rsidRDefault="00C76F4D" w:rsidP="00123670">
            <w:pPr>
              <w:pStyle w:val="Odstavecseseznamem"/>
              <w:spacing w:before="60" w:after="60"/>
              <w:ind w:left="0"/>
              <w:jc w:val="both"/>
            </w:pPr>
            <w:r w:rsidRPr="00B20D14">
              <w:t>Předpokládaný termín splnění veřejné zakázky</w:t>
            </w:r>
          </w:p>
        </w:tc>
        <w:tc>
          <w:tcPr>
            <w:tcW w:w="5528" w:type="dxa"/>
          </w:tcPr>
          <w:p w:rsidR="002D2125" w:rsidRPr="00AC36D3" w:rsidRDefault="000673D0" w:rsidP="00112F98">
            <w:pPr>
              <w:pStyle w:val="Odstavecseseznamem"/>
              <w:spacing w:before="60" w:after="60"/>
              <w:ind w:left="0"/>
              <w:jc w:val="both"/>
              <w:rPr>
                <w:i/>
              </w:rPr>
            </w:pPr>
            <w:r w:rsidRPr="00AC36D3">
              <w:rPr>
                <w:i/>
              </w:rPr>
              <w:t>3 roky a 9 měsíců od podpisu smlouvy.</w:t>
            </w:r>
          </w:p>
        </w:tc>
      </w:tr>
      <w:tr w:rsidR="00C76F4D" w:rsidRPr="002D4A81" w:rsidTr="00F92F06">
        <w:tc>
          <w:tcPr>
            <w:tcW w:w="3794" w:type="dxa"/>
          </w:tcPr>
          <w:p w:rsidR="00C76F4D" w:rsidRPr="002D4A81" w:rsidDel="00220BCF" w:rsidRDefault="00CC3FE4" w:rsidP="007F209A">
            <w:pPr>
              <w:pStyle w:val="Odstavecseseznamem"/>
              <w:spacing w:before="60" w:after="60"/>
              <w:ind w:left="0"/>
              <w:jc w:val="both"/>
            </w:pPr>
            <w:r w:rsidRPr="002D4A81">
              <w:t xml:space="preserve">Popis rizik souvisejících s plněním veřejné zakázky, která zadavatel zohlednil při stanovení zadávacích podmínek. </w:t>
            </w:r>
          </w:p>
        </w:tc>
        <w:tc>
          <w:tcPr>
            <w:tcW w:w="5528" w:type="dxa"/>
          </w:tcPr>
          <w:p w:rsidR="00407C5D" w:rsidRPr="00AC36D3" w:rsidRDefault="00407C5D" w:rsidP="00407C5D">
            <w:pPr>
              <w:widowControl w:val="0"/>
              <w:numPr>
                <w:ilvl w:val="0"/>
                <w:numId w:val="22"/>
              </w:numPr>
              <w:overflowPunct w:val="0"/>
              <w:autoSpaceDE w:val="0"/>
              <w:autoSpaceDN w:val="0"/>
              <w:adjustRightInd w:val="0"/>
              <w:spacing w:line="280" w:lineRule="atLeast"/>
              <w:ind w:left="851" w:hanging="425"/>
              <w:jc w:val="both"/>
              <w:rPr>
                <w:i/>
                <w:u w:val="single"/>
              </w:rPr>
            </w:pPr>
            <w:r w:rsidRPr="00AC36D3">
              <w:rPr>
                <w:i/>
                <w:u w:val="single"/>
              </w:rPr>
              <w:t xml:space="preserve">Riziko </w:t>
            </w:r>
            <w:proofErr w:type="spellStart"/>
            <w:r w:rsidRPr="00AC36D3">
              <w:rPr>
                <w:i/>
                <w:u w:val="single"/>
              </w:rPr>
              <w:t>nerealizace</w:t>
            </w:r>
            <w:proofErr w:type="spellEnd"/>
            <w:r w:rsidRPr="00AC36D3">
              <w:rPr>
                <w:i/>
                <w:u w:val="single"/>
              </w:rPr>
              <w:t xml:space="preserve"> veřejné zakázky</w:t>
            </w:r>
          </w:p>
          <w:p w:rsidR="006F2682" w:rsidRPr="00AC36D3" w:rsidRDefault="006F2682" w:rsidP="006F2682">
            <w:pPr>
              <w:spacing w:before="60" w:line="280" w:lineRule="atLeast"/>
              <w:ind w:left="425"/>
              <w:jc w:val="both"/>
              <w:rPr>
                <w:i/>
              </w:rPr>
            </w:pPr>
            <w:r w:rsidRPr="00AC36D3">
              <w:rPr>
                <w:i/>
              </w:rPr>
              <w:t xml:space="preserve">Nedojde-li k realizaci veřejné zakázky, nebudou naplněny potřeby zadavatele spočívající v zajištění výkonu agend v oblasti zaměstnanosti a trhu práce a související evidence, které jsou na něj kladeny zákonnými normami, neboť MPSV má se stávajícím dodavatelem </w:t>
            </w:r>
            <w:proofErr w:type="spellStart"/>
            <w:r w:rsidRPr="00AC36D3">
              <w:rPr>
                <w:i/>
              </w:rPr>
              <w:t>agendových</w:t>
            </w:r>
            <w:proofErr w:type="spellEnd"/>
            <w:r w:rsidRPr="00AC36D3">
              <w:rPr>
                <w:i/>
              </w:rPr>
              <w:t xml:space="preserve"> systémů, společností </w:t>
            </w:r>
            <w:proofErr w:type="spellStart"/>
            <w:r w:rsidRPr="00AC36D3">
              <w:rPr>
                <w:i/>
              </w:rPr>
              <w:t>OKsystem</w:t>
            </w:r>
            <w:proofErr w:type="spellEnd"/>
            <w:r w:rsidRPr="00AC36D3">
              <w:rPr>
                <w:i/>
              </w:rPr>
              <w:t xml:space="preserve">, uzavřenou rámcovou smlouvu pouze do 31. 12. 2014. Dle usnesení vlády České republiky ze dne 25. 9. 2013 č. 733 zadavatel plánuje realizaci jednacího řízení bez uveřejnění s tímto dodavatelem. Tyto kroky mají za cíl zajistit funkčnost </w:t>
            </w:r>
            <w:proofErr w:type="spellStart"/>
            <w:r w:rsidRPr="00AC36D3">
              <w:rPr>
                <w:i/>
              </w:rPr>
              <w:t>agendových</w:t>
            </w:r>
            <w:proofErr w:type="spellEnd"/>
            <w:r w:rsidRPr="00AC36D3">
              <w:rPr>
                <w:i/>
              </w:rPr>
              <w:t xml:space="preserve"> systémů a výplatu dávek i v roce 2015 a 2016.</w:t>
            </w:r>
          </w:p>
          <w:p w:rsidR="00407C5D" w:rsidRPr="00AC36D3" w:rsidRDefault="006F2682" w:rsidP="006F2682">
            <w:pPr>
              <w:spacing w:before="60" w:line="280" w:lineRule="atLeast"/>
              <w:ind w:left="425"/>
              <w:jc w:val="both"/>
              <w:rPr>
                <w:i/>
              </w:rPr>
            </w:pPr>
            <w:r w:rsidRPr="00AC36D3">
              <w:rPr>
                <w:i/>
              </w:rPr>
              <w:t>Zadávací podmínky veřejné zakázky jsou proto stanoveny tak, aby realizace veřejné zakázky proběhla řádně, včas a v souladu s právním řádem České republiky.</w:t>
            </w:r>
          </w:p>
          <w:p w:rsidR="001D69F7" w:rsidRPr="00AC36D3" w:rsidRDefault="001D69F7" w:rsidP="006F2682">
            <w:pPr>
              <w:spacing w:before="60" w:line="280" w:lineRule="atLeast"/>
              <w:ind w:left="425"/>
              <w:jc w:val="both"/>
              <w:rPr>
                <w:i/>
              </w:rPr>
            </w:pPr>
            <w:r w:rsidRPr="00AC36D3">
              <w:rPr>
                <w:i/>
              </w:rPr>
              <w:t>Rizika související s autorskými právy k vytvořeným databázím a informačním systémům jsou zohledněna v detailním nastavení autorskoprávních a licenčních oprávnění zadavatele v zadávacích podmínkách.</w:t>
            </w:r>
          </w:p>
          <w:p w:rsidR="00407C5D" w:rsidRPr="00AC36D3" w:rsidRDefault="00407C5D" w:rsidP="00407C5D">
            <w:pPr>
              <w:spacing w:before="60" w:line="280" w:lineRule="atLeast"/>
              <w:ind w:left="425"/>
              <w:jc w:val="both"/>
              <w:rPr>
                <w:i/>
              </w:rPr>
            </w:pPr>
          </w:p>
          <w:p w:rsidR="00407C5D" w:rsidRPr="00AC36D3" w:rsidRDefault="00407C5D" w:rsidP="00407C5D">
            <w:pPr>
              <w:widowControl w:val="0"/>
              <w:numPr>
                <w:ilvl w:val="0"/>
                <w:numId w:val="22"/>
              </w:numPr>
              <w:overflowPunct w:val="0"/>
              <w:autoSpaceDE w:val="0"/>
              <w:autoSpaceDN w:val="0"/>
              <w:adjustRightInd w:val="0"/>
              <w:spacing w:line="280" w:lineRule="atLeast"/>
              <w:ind w:left="851" w:hanging="425"/>
              <w:jc w:val="both"/>
              <w:rPr>
                <w:i/>
                <w:u w:val="single"/>
              </w:rPr>
            </w:pPr>
            <w:r w:rsidRPr="00AC36D3">
              <w:rPr>
                <w:i/>
                <w:u w:val="single"/>
              </w:rPr>
              <w:t>Riziko prodlení s plněním veřejné zakázky</w:t>
            </w:r>
          </w:p>
          <w:p w:rsidR="006F2682" w:rsidRPr="00AC36D3" w:rsidRDefault="006F2682" w:rsidP="006F2682">
            <w:pPr>
              <w:spacing w:before="60" w:line="280" w:lineRule="atLeast"/>
              <w:ind w:left="425"/>
              <w:jc w:val="both"/>
              <w:rPr>
                <w:i/>
              </w:rPr>
            </w:pPr>
            <w:r w:rsidRPr="00AC36D3">
              <w:rPr>
                <w:i/>
              </w:rPr>
              <w:t xml:space="preserve">V případě prodlení s plněním veřejné zakázky hrozí ohrožení termínu zahájení ostrého provozu nového IS k 1. 1. 2017 a tím řádného chodu agend zadavatele v oblasti zaměstnanosti a trhu práce a související evidence, které jsou na něj kladeny zákonnými normami. Rovněž je pravděpodobné, že by Zadavatel musel prostřednictvím jednacího řízení bez uveřejnění opět prodloužit smlouvu se stávajícím dodavatelem, společností </w:t>
            </w:r>
            <w:proofErr w:type="spellStart"/>
            <w:r w:rsidRPr="00AC36D3">
              <w:rPr>
                <w:i/>
              </w:rPr>
              <w:t>OKsystem</w:t>
            </w:r>
            <w:proofErr w:type="spellEnd"/>
            <w:r w:rsidRPr="00AC36D3">
              <w:rPr>
                <w:i/>
              </w:rPr>
              <w:t xml:space="preserve">. </w:t>
            </w:r>
          </w:p>
          <w:p w:rsidR="00407C5D" w:rsidRPr="00AC36D3" w:rsidRDefault="006F2682" w:rsidP="006F2682">
            <w:pPr>
              <w:spacing w:before="60" w:line="280" w:lineRule="atLeast"/>
              <w:ind w:left="425"/>
              <w:jc w:val="both"/>
              <w:rPr>
                <w:i/>
              </w:rPr>
            </w:pPr>
            <w:r w:rsidRPr="00AC36D3">
              <w:rPr>
                <w:i/>
              </w:rPr>
              <w:t>Zadavatel proto pro případ prodlení s plněním veřejné zakázky v závazném návrhu smlouvy stanovil sankční a zajišťovací prostředky, zejména smluvní pokutu pro případ prodlení s termínovým plněním, a to za každý započatý den prodlení. Zadavatel bude v souladu s platnými a účinnými právními předpisy rovněž uplatňovat nárok na náhradu škody či jiné újmy, která mu v průběhu plnění vznikla.</w:t>
            </w:r>
          </w:p>
          <w:p w:rsidR="00407C5D" w:rsidRPr="00AC36D3" w:rsidRDefault="00407C5D" w:rsidP="00407C5D">
            <w:pPr>
              <w:spacing w:before="60" w:line="280" w:lineRule="atLeast"/>
              <w:ind w:left="425"/>
              <w:jc w:val="both"/>
              <w:rPr>
                <w:i/>
              </w:rPr>
            </w:pPr>
          </w:p>
          <w:p w:rsidR="00407C5D" w:rsidRPr="00AC36D3" w:rsidRDefault="00407C5D" w:rsidP="00407C5D">
            <w:pPr>
              <w:widowControl w:val="0"/>
              <w:numPr>
                <w:ilvl w:val="0"/>
                <w:numId w:val="22"/>
              </w:numPr>
              <w:overflowPunct w:val="0"/>
              <w:autoSpaceDE w:val="0"/>
              <w:autoSpaceDN w:val="0"/>
              <w:adjustRightInd w:val="0"/>
              <w:spacing w:line="280" w:lineRule="atLeast"/>
              <w:ind w:left="851" w:hanging="425"/>
              <w:jc w:val="both"/>
              <w:rPr>
                <w:i/>
                <w:u w:val="single"/>
              </w:rPr>
            </w:pPr>
            <w:r w:rsidRPr="00AC36D3">
              <w:rPr>
                <w:i/>
                <w:u w:val="single"/>
              </w:rPr>
              <w:t>Riziko snížení kvality plnění</w:t>
            </w:r>
          </w:p>
          <w:p w:rsidR="00407C5D" w:rsidRPr="00AC36D3" w:rsidRDefault="006F2682" w:rsidP="00407C5D">
            <w:pPr>
              <w:spacing w:before="60" w:line="280" w:lineRule="atLeast"/>
              <w:ind w:left="425"/>
              <w:jc w:val="both"/>
              <w:rPr>
                <w:i/>
              </w:rPr>
            </w:pPr>
            <w:r w:rsidRPr="00AC36D3">
              <w:rPr>
                <w:i/>
              </w:rPr>
              <w:t>V případě snížení kvality plnění hrozí ohrožení řádného chodu agend zadavatele v oblasti zaměstnanosti a trhu práce a související evidence, které jsou na něj kladeny zákonnými normami. Zadavatel proto bude po celou dobu plnění předmětu veřejné zakázky požadovat, aby předmět plnění byl poskytován v kvalitě stanovené zadavatelem v zadávacích podmínkách. Kvalita plnění je definována odkazem na relevantní právní předpisy a jiné normy a certifikáty</w:t>
            </w:r>
            <w:r w:rsidR="00407C5D" w:rsidRPr="00AC36D3">
              <w:rPr>
                <w:i/>
              </w:rPr>
              <w:t xml:space="preserve">. </w:t>
            </w:r>
          </w:p>
          <w:p w:rsidR="00407C5D" w:rsidRPr="00AC36D3" w:rsidRDefault="00407C5D" w:rsidP="00407C5D">
            <w:pPr>
              <w:spacing w:before="60" w:line="280" w:lineRule="atLeast"/>
              <w:ind w:left="425"/>
              <w:jc w:val="both"/>
              <w:rPr>
                <w:i/>
              </w:rPr>
            </w:pPr>
          </w:p>
          <w:p w:rsidR="00407C5D" w:rsidRPr="00AC36D3" w:rsidRDefault="00407C5D" w:rsidP="00407C5D">
            <w:pPr>
              <w:widowControl w:val="0"/>
              <w:numPr>
                <w:ilvl w:val="0"/>
                <w:numId w:val="22"/>
              </w:numPr>
              <w:overflowPunct w:val="0"/>
              <w:autoSpaceDE w:val="0"/>
              <w:autoSpaceDN w:val="0"/>
              <w:adjustRightInd w:val="0"/>
              <w:spacing w:line="280" w:lineRule="atLeast"/>
              <w:ind w:left="851" w:hanging="425"/>
              <w:jc w:val="both"/>
              <w:rPr>
                <w:i/>
                <w:u w:val="single"/>
              </w:rPr>
            </w:pPr>
            <w:r w:rsidRPr="00AC36D3">
              <w:rPr>
                <w:i/>
                <w:u w:val="single"/>
              </w:rPr>
              <w:t>Riziko vynaložení dalších finančních nákladů</w:t>
            </w:r>
          </w:p>
          <w:p w:rsidR="0086081F" w:rsidRPr="00AC36D3" w:rsidRDefault="0086081F" w:rsidP="0086081F">
            <w:pPr>
              <w:spacing w:before="60" w:line="280" w:lineRule="atLeast"/>
              <w:ind w:left="425"/>
              <w:jc w:val="both"/>
              <w:rPr>
                <w:i/>
              </w:rPr>
            </w:pPr>
            <w:r w:rsidRPr="00AC36D3">
              <w:rPr>
                <w:i/>
              </w:rPr>
              <w:t xml:space="preserve">Předmět plnění veřejné zakázky je jasně a určitě definován zadávacími podmínkami, resp. vymezením předmětu plnění veřejné zakázky v souladu se zákonem č. 137/2006 Sb., o veřejných zakázkách, ve znění pozdějších předpisů. </w:t>
            </w:r>
          </w:p>
          <w:p w:rsidR="0086081F" w:rsidRPr="00AC36D3" w:rsidRDefault="0086081F" w:rsidP="0086081F">
            <w:pPr>
              <w:spacing w:before="60" w:line="280" w:lineRule="atLeast"/>
              <w:ind w:left="425"/>
              <w:jc w:val="both"/>
              <w:rPr>
                <w:i/>
              </w:rPr>
            </w:pPr>
            <w:r w:rsidRPr="00AC36D3">
              <w:rPr>
                <w:i/>
              </w:rPr>
              <w:t>Nabídková cena za (i) vytvoření detailního návrhu systému, (</w:t>
            </w:r>
            <w:proofErr w:type="spellStart"/>
            <w:r w:rsidRPr="00AC36D3">
              <w:rPr>
                <w:i/>
              </w:rPr>
              <w:t>ii</w:t>
            </w:r>
            <w:proofErr w:type="spellEnd"/>
            <w:r w:rsidRPr="00AC36D3">
              <w:rPr>
                <w:i/>
              </w:rPr>
              <w:t>) vytvoření, dodání a zprovoznění prototypu, (</w:t>
            </w:r>
            <w:proofErr w:type="spellStart"/>
            <w:r w:rsidRPr="00AC36D3">
              <w:rPr>
                <w:i/>
              </w:rPr>
              <w:t>iii</w:t>
            </w:r>
            <w:proofErr w:type="spellEnd"/>
            <w:r w:rsidRPr="00AC36D3">
              <w:rPr>
                <w:i/>
              </w:rPr>
              <w:t>) vytvoření, dodání a zprovoznění systému a (</w:t>
            </w:r>
            <w:proofErr w:type="spellStart"/>
            <w:r w:rsidRPr="00AC36D3">
              <w:rPr>
                <w:i/>
              </w:rPr>
              <w:t>iv</w:t>
            </w:r>
            <w:proofErr w:type="spellEnd"/>
            <w:r w:rsidRPr="00AC36D3">
              <w:rPr>
                <w:i/>
              </w:rPr>
              <w:t xml:space="preserve">) vytvoření a dodání dokumentace, stanovená na základě zadávacího řízení, bude konečná a musí obsahovat veškeré náklady související s plněním předmětu veřejné zakázky. </w:t>
            </w:r>
          </w:p>
          <w:p w:rsidR="0086081F" w:rsidRPr="00AC36D3" w:rsidRDefault="0086081F" w:rsidP="0086081F">
            <w:pPr>
              <w:spacing w:before="60" w:line="280" w:lineRule="atLeast"/>
              <w:ind w:left="425"/>
              <w:jc w:val="both"/>
              <w:rPr>
                <w:i/>
              </w:rPr>
            </w:pPr>
            <w:r w:rsidRPr="00AC36D3">
              <w:rPr>
                <w:i/>
              </w:rPr>
              <w:t xml:space="preserve">Nabídková cena za jeden měsíc poskytování služeb podpory provozu systému, stanovená na základě zadávacího řízení, bude konečná a musí obsahovat veškeré náklady na poskytnutí těchto činností. </w:t>
            </w:r>
          </w:p>
          <w:p w:rsidR="0086081F" w:rsidRPr="00AC36D3" w:rsidRDefault="0086081F" w:rsidP="0086081F">
            <w:pPr>
              <w:spacing w:before="60" w:line="280" w:lineRule="atLeast"/>
              <w:ind w:left="425"/>
              <w:jc w:val="both"/>
              <w:rPr>
                <w:i/>
              </w:rPr>
            </w:pPr>
            <w:r w:rsidRPr="00AC36D3">
              <w:rPr>
                <w:i/>
              </w:rPr>
              <w:t xml:space="preserve">Nabídková cena za dodatečné rozvojové činnosti, které bude zadavatel oprávněn objednat, je pak omezena částkou uvedenou v Zadávací dokumentaci; cena za jeden člověkoden dodatečných rozvojových činností uvedena ve Smlouvě, stanovená na základě zadávacího řízení, bude konečná a musí obsahovat veškeré náklady na poskytnutí těchto činností. </w:t>
            </w:r>
          </w:p>
          <w:p w:rsidR="00C76F4D" w:rsidRPr="00C64DA9" w:rsidRDefault="0086081F" w:rsidP="0086081F">
            <w:pPr>
              <w:spacing w:before="60" w:line="280" w:lineRule="atLeast"/>
              <w:ind w:left="425"/>
              <w:jc w:val="both"/>
              <w:rPr>
                <w:i/>
                <w:color w:val="FF0000"/>
              </w:rPr>
            </w:pPr>
            <w:r w:rsidRPr="00AC36D3">
              <w:rPr>
                <w:i/>
              </w:rPr>
              <w:t>Vzhledem k výše uvedenému zadavatel nepředpokládá vynaložení dalších finančních nákladů v souvislosti s realizací předmětné veřejné zakázky. V případě nutnosti vynaložení dalších finančních nákladů z důvodu na straně uchazeče, s nímž bude smlouva uzavřena, bude zadavatel postupovat v souladu s platnými a účinnými právními předpisy.</w:t>
            </w:r>
          </w:p>
        </w:tc>
      </w:tr>
      <w:tr w:rsidR="00C76F4D" w:rsidRPr="002D4A81" w:rsidTr="00F92F06">
        <w:tc>
          <w:tcPr>
            <w:tcW w:w="3794" w:type="dxa"/>
          </w:tcPr>
          <w:p w:rsidR="00C76F4D" w:rsidRPr="00835335" w:rsidRDefault="00D739DA" w:rsidP="007F209A">
            <w:pPr>
              <w:pStyle w:val="Odstavecseseznamem"/>
              <w:spacing w:before="60" w:after="60"/>
              <w:ind w:left="0"/>
              <w:jc w:val="both"/>
            </w:pPr>
            <w:r w:rsidRPr="00835335">
              <w:t>Organizátor</w:t>
            </w:r>
            <w:r w:rsidR="001576C1" w:rsidRPr="00835335">
              <w:t xml:space="preserve"> může vymezit varianty naplnění potřeby a zdůvodnění zvolené alternativy veřejné zakázky.</w:t>
            </w:r>
          </w:p>
        </w:tc>
        <w:tc>
          <w:tcPr>
            <w:tcW w:w="5528" w:type="dxa"/>
          </w:tcPr>
          <w:p w:rsidR="00C76F4D" w:rsidRPr="003512A8" w:rsidRDefault="00C76F4D" w:rsidP="007F209A">
            <w:pPr>
              <w:pStyle w:val="Odstavecseseznamem"/>
              <w:spacing w:before="60" w:after="60"/>
              <w:ind w:left="0"/>
              <w:jc w:val="both"/>
              <w:rPr>
                <w:i/>
                <w:color w:val="FF0000"/>
              </w:rPr>
            </w:pPr>
          </w:p>
        </w:tc>
      </w:tr>
      <w:tr w:rsidR="00C76F4D" w:rsidRPr="002D4A81" w:rsidTr="00F92F06">
        <w:trPr>
          <w:trHeight w:val="826"/>
        </w:trPr>
        <w:tc>
          <w:tcPr>
            <w:tcW w:w="3794" w:type="dxa"/>
          </w:tcPr>
          <w:p w:rsidR="00C76F4D" w:rsidRPr="002D4A81" w:rsidRDefault="00D739DA" w:rsidP="007F209A">
            <w:pPr>
              <w:pStyle w:val="Odstavecseseznamem"/>
              <w:spacing w:before="60" w:after="60"/>
              <w:ind w:left="0"/>
              <w:jc w:val="both"/>
            </w:pPr>
            <w:r w:rsidRPr="002D4A81">
              <w:t>Organizátor</w:t>
            </w:r>
            <w:r w:rsidR="001576C1" w:rsidRPr="002D4A81">
              <w:t xml:space="preserve"> může vymezit, do jaké m</w:t>
            </w:r>
            <w:r w:rsidRPr="002D4A81">
              <w:t>í</w:t>
            </w:r>
            <w:r w:rsidR="001576C1" w:rsidRPr="002D4A81">
              <w:t>ry ovlivní veřejná zakázka naplnění plánovaného cíle.</w:t>
            </w:r>
          </w:p>
        </w:tc>
        <w:tc>
          <w:tcPr>
            <w:tcW w:w="5528" w:type="dxa"/>
          </w:tcPr>
          <w:p w:rsidR="00C76F4D" w:rsidRPr="002D4A81" w:rsidRDefault="00C76F4D" w:rsidP="007F209A">
            <w:pPr>
              <w:pStyle w:val="Odstavecseseznamem"/>
              <w:spacing w:before="60" w:after="60"/>
              <w:ind w:left="0"/>
              <w:jc w:val="both"/>
              <w:rPr>
                <w:i/>
                <w:color w:val="FF0000"/>
              </w:rPr>
            </w:pPr>
          </w:p>
        </w:tc>
      </w:tr>
      <w:tr w:rsidR="00C76F4D" w:rsidRPr="002D4A81" w:rsidTr="00F92F06">
        <w:tc>
          <w:tcPr>
            <w:tcW w:w="3794" w:type="dxa"/>
          </w:tcPr>
          <w:p w:rsidR="00C76F4D" w:rsidRPr="002D4A81" w:rsidRDefault="00D739DA" w:rsidP="007F209A">
            <w:pPr>
              <w:pStyle w:val="Odstavecseseznamem"/>
              <w:spacing w:before="60" w:after="60"/>
              <w:ind w:left="0"/>
              <w:jc w:val="both"/>
            </w:pPr>
            <w:r w:rsidRPr="002D4A81">
              <w:t xml:space="preserve">Organizátor </w:t>
            </w:r>
            <w:r w:rsidR="001576C1" w:rsidRPr="002D4A81">
              <w:t>může uvést další informace odůvodňující účelnost veřejné zakázky.</w:t>
            </w:r>
          </w:p>
        </w:tc>
        <w:tc>
          <w:tcPr>
            <w:tcW w:w="5528" w:type="dxa"/>
          </w:tcPr>
          <w:p w:rsidR="00C76F4D" w:rsidRPr="002D4A81" w:rsidRDefault="00C76F4D" w:rsidP="007F209A">
            <w:pPr>
              <w:pStyle w:val="Odstavecseseznamem"/>
              <w:spacing w:before="60" w:after="60"/>
              <w:ind w:left="0"/>
              <w:jc w:val="both"/>
              <w:rPr>
                <w:color w:val="FF0000"/>
              </w:rPr>
            </w:pPr>
          </w:p>
        </w:tc>
      </w:tr>
    </w:tbl>
    <w:p w:rsidR="002D2125" w:rsidRPr="00B20D14" w:rsidRDefault="002D2125" w:rsidP="002D2125">
      <w:pPr>
        <w:rPr>
          <w:rFonts w:eastAsia="MS Mincho"/>
        </w:rPr>
      </w:pPr>
    </w:p>
    <w:p w:rsidR="002D2125" w:rsidRPr="0088308A" w:rsidRDefault="002D2125" w:rsidP="00602C6F">
      <w:pPr>
        <w:spacing w:after="120"/>
        <w:ind w:right="22"/>
        <w:jc w:val="both"/>
        <w:rPr>
          <w:rFonts w:eastAsia="MS Mincho"/>
          <w:b/>
          <w:bCs/>
        </w:rPr>
      </w:pPr>
      <w:r w:rsidRPr="0088308A">
        <w:t xml:space="preserve">Odůvodnění </w:t>
      </w:r>
      <w:r w:rsidRPr="0088308A">
        <w:rPr>
          <w:b/>
        </w:rPr>
        <w:t>přiměřenosti požadavků na technické kvalifikační předpoklady</w:t>
      </w:r>
      <w:r w:rsidRPr="0088308A">
        <w:t>:</w:t>
      </w:r>
    </w:p>
    <w:p w:rsidR="00E43F61" w:rsidRPr="00A92F48" w:rsidRDefault="00E43F61" w:rsidP="00A92F48">
      <w:pPr>
        <w:pStyle w:val="Odstavecseseznamem"/>
        <w:spacing w:before="60" w:after="60"/>
        <w:ind w:left="0"/>
        <w:jc w:val="both"/>
      </w:pPr>
      <w:r w:rsidRPr="00A92F48">
        <w:t xml:space="preserve">S ohledem na výši předpokládané hodnoty veřejné zakázky a její význam pro výkon agend zadavatele zadavatel požaduje, aby dodavatel </w:t>
      </w:r>
      <w:r>
        <w:t xml:space="preserve">realizoval významné dodávky odpovídající předmětu dodávky a dále aby </w:t>
      </w:r>
      <w:r w:rsidRPr="00A92F48">
        <w:t>uchazeč prokázal disponibilitu odpovídajících techniků. Požadovan</w:t>
      </w:r>
      <w:r>
        <w:t>ý</w:t>
      </w:r>
      <w:r w:rsidRPr="00A92F48">
        <w:t xml:space="preserve"> </w:t>
      </w:r>
      <w:r>
        <w:t xml:space="preserve">rozsah významných dodávek a </w:t>
      </w:r>
      <w:r w:rsidRPr="00A92F48">
        <w:t>množství techniků a jejich požadovaná kvalifikace j</w:t>
      </w:r>
      <w:r>
        <w:t>sou</w:t>
      </w:r>
      <w:r w:rsidRPr="00A92F48">
        <w:t xml:space="preserve"> naprosto odpovídající požadovanému plnění, a to zejména s ohledem na jeho rozsah a složitost.</w:t>
      </w:r>
    </w:p>
    <w:p w:rsidR="002D2125" w:rsidRPr="0088308A" w:rsidRDefault="002D2125" w:rsidP="002D2125">
      <w:pPr>
        <w:pStyle w:val="Prosttext"/>
        <w:spacing w:after="120"/>
        <w:jc w:val="both"/>
        <w:rPr>
          <w:rFonts w:ascii="Times New Roman" w:eastAsia="MS Mincho" w:hAnsi="Times New Roman" w:cs="Times New Roman"/>
          <w:i/>
          <w:iCs/>
          <w:color w:val="FF0000"/>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2D2125" w:rsidRPr="0088308A" w:rsidTr="002D2125">
        <w:tc>
          <w:tcPr>
            <w:tcW w:w="9322" w:type="dxa"/>
            <w:gridSpan w:val="2"/>
          </w:tcPr>
          <w:p w:rsidR="002D2125" w:rsidRPr="0088308A" w:rsidRDefault="002D2125" w:rsidP="00793AC5">
            <w:pPr>
              <w:pStyle w:val="Odstavecseseznamem"/>
              <w:ind w:left="0"/>
              <w:jc w:val="center"/>
              <w:rPr>
                <w:b/>
              </w:rPr>
            </w:pPr>
            <w:r w:rsidRPr="0088308A">
              <w:rPr>
                <w:b/>
              </w:rPr>
              <w:t xml:space="preserve">Odůvodnění přiměřenosti požadavků na technické kvalifikační předpoklady pro plnění veřejné zakázky </w:t>
            </w:r>
            <w:r w:rsidRPr="0088308A">
              <w:rPr>
                <w:b/>
                <w:u w:val="single"/>
              </w:rPr>
              <w:t>na dodávky</w:t>
            </w:r>
            <w:r w:rsidRPr="0088308A">
              <w:rPr>
                <w:b/>
              </w:rPr>
              <w:t xml:space="preserve"> </w:t>
            </w:r>
          </w:p>
        </w:tc>
      </w:tr>
      <w:tr w:rsidR="00AC5495" w:rsidRPr="0088308A" w:rsidTr="002D2125">
        <w:tc>
          <w:tcPr>
            <w:tcW w:w="3794" w:type="dxa"/>
          </w:tcPr>
          <w:p w:rsidR="00AC5495" w:rsidRPr="0088308A" w:rsidRDefault="00AC5495" w:rsidP="007F209A">
            <w:pPr>
              <w:pStyle w:val="Odstavecseseznamem"/>
              <w:spacing w:before="60" w:after="60"/>
              <w:ind w:left="0"/>
              <w:jc w:val="both"/>
            </w:pPr>
            <w:r w:rsidRPr="0088308A">
              <w:t xml:space="preserve">Odůvodnění přiměřenosti požadavků na seznam významných dodávek. </w:t>
            </w:r>
            <w:r w:rsidRPr="0088308A">
              <w:rPr>
                <w:i/>
              </w:rPr>
              <w:t>(Organizátor povinně vyplní, pokud požadovaná finanční hodnota všech významných dodávek činí v souhrnu minimálně trojnásobek předpokládané hodnoty veřejné zakázky.)</w:t>
            </w:r>
          </w:p>
        </w:tc>
        <w:tc>
          <w:tcPr>
            <w:tcW w:w="5528" w:type="dxa"/>
          </w:tcPr>
          <w:p w:rsidR="00AC5495" w:rsidRPr="0088308A" w:rsidRDefault="00AC5495" w:rsidP="000912BE">
            <w:pPr>
              <w:pStyle w:val="Odstavecseseznamem"/>
              <w:ind w:left="0"/>
              <w:jc w:val="both"/>
            </w:pPr>
            <w:r w:rsidRPr="00AC36D3">
              <w:rPr>
                <w:i/>
              </w:rPr>
              <w:t xml:space="preserve">Zadavatel nepožaduje významné dodávky, jejichž finanční hodnota </w:t>
            </w:r>
            <w:r w:rsidR="00C50744" w:rsidRPr="00AC36D3">
              <w:rPr>
                <w:i/>
              </w:rPr>
              <w:t xml:space="preserve">by </w:t>
            </w:r>
            <w:r w:rsidRPr="00AC36D3">
              <w:rPr>
                <w:i/>
              </w:rPr>
              <w:t>čin</w:t>
            </w:r>
            <w:r w:rsidR="00C50744" w:rsidRPr="00AC36D3">
              <w:rPr>
                <w:i/>
              </w:rPr>
              <w:t>ila</w:t>
            </w:r>
            <w:r w:rsidRPr="00AC36D3">
              <w:rPr>
                <w:i/>
              </w:rPr>
              <w:t xml:space="preserve"> v souhrnu minimálně trojnásobek předpokládané hodnoty veřejné zakázky</w:t>
            </w:r>
            <w:r w:rsidR="00C50744" w:rsidRPr="00AC36D3">
              <w:rPr>
                <w:i/>
              </w:rPr>
              <w:t>, t</w:t>
            </w:r>
            <w:r w:rsidR="00CC4A46" w:rsidRPr="00AC36D3">
              <w:rPr>
                <w:i/>
              </w:rPr>
              <w:t>en</w:t>
            </w:r>
            <w:r w:rsidR="00C50744" w:rsidRPr="00AC36D3">
              <w:rPr>
                <w:i/>
              </w:rPr>
              <w:t>to požadav</w:t>
            </w:r>
            <w:r w:rsidR="00691EB9" w:rsidRPr="00AC36D3">
              <w:rPr>
                <w:i/>
              </w:rPr>
              <w:t>e</w:t>
            </w:r>
            <w:r w:rsidR="00C50744" w:rsidRPr="00AC36D3">
              <w:rPr>
                <w:i/>
              </w:rPr>
              <w:t xml:space="preserve">k </w:t>
            </w:r>
            <w:r w:rsidR="00CC4A46" w:rsidRPr="00AC36D3">
              <w:rPr>
                <w:i/>
              </w:rPr>
              <w:t xml:space="preserve">zadavatel </w:t>
            </w:r>
            <w:r w:rsidR="00C50744" w:rsidRPr="00AC36D3">
              <w:rPr>
                <w:i/>
              </w:rPr>
              <w:t>proto neodůvodňuje</w:t>
            </w:r>
            <w:r w:rsidRPr="00170E7B">
              <w:rPr>
                <w:i/>
                <w:color w:val="FF0000"/>
              </w:rPr>
              <w:t>.</w:t>
            </w:r>
          </w:p>
        </w:tc>
      </w:tr>
      <w:tr w:rsidR="00AC5495" w:rsidRPr="0088308A" w:rsidTr="002D2125">
        <w:tc>
          <w:tcPr>
            <w:tcW w:w="3794" w:type="dxa"/>
          </w:tcPr>
          <w:p w:rsidR="00AC5495" w:rsidRPr="0088308A" w:rsidRDefault="00AC5495" w:rsidP="007F209A">
            <w:pPr>
              <w:pStyle w:val="Odstavecseseznamem"/>
              <w:spacing w:before="60" w:after="60"/>
              <w:ind w:left="0"/>
              <w:jc w:val="both"/>
            </w:pPr>
            <w:r w:rsidRPr="0088308A">
              <w:t xml:space="preserve">Odůvodnění přiměřenosti požadavku na předložení seznamu techniků či technických útvarů. </w:t>
            </w:r>
            <w:r w:rsidRPr="0088308A">
              <w:rPr>
                <w:i/>
              </w:rPr>
              <w:t>(Organizátor povinně vyplní, pokud požaduje předložení seznamu více než 3 techniků či technických útvarů.)</w:t>
            </w:r>
          </w:p>
        </w:tc>
        <w:tc>
          <w:tcPr>
            <w:tcW w:w="5528" w:type="dxa"/>
          </w:tcPr>
          <w:p w:rsidR="00AC5495" w:rsidRPr="00AC36D3" w:rsidRDefault="00AC5495" w:rsidP="000912BE">
            <w:pPr>
              <w:pStyle w:val="Odstavecseseznamem"/>
              <w:ind w:left="0"/>
              <w:jc w:val="both"/>
              <w:rPr>
                <w:i/>
              </w:rPr>
            </w:pPr>
            <w:r w:rsidRPr="00AC36D3">
              <w:rPr>
                <w:i/>
              </w:rPr>
              <w:t>S ohledem na výši předpokládané hodnoty veřejné zakázky a její význam pro výkon agend zadavatele zadavatel požaduje, aby dodavatel disponoval nejen zkušeností jako právnická osoba, ale vzhledem k tomu, že se jedná v tomto zadávacím řízení o poskytování výše uvedeného plnění, požaduje zadavatel, aby uchazeč prokázal disponibilitu odpovídajících techniků. Požadované množství techniků a jejich požadovaná kvalifikace je naprosto odpovídající požadovanému plnění, a to zejména s ohledem na jeho rozsah a složitost.</w:t>
            </w:r>
          </w:p>
          <w:p w:rsidR="00AC5495" w:rsidRPr="002B7DD6" w:rsidRDefault="00AC5495" w:rsidP="000912BE">
            <w:pPr>
              <w:pStyle w:val="Odstavecseseznamem"/>
              <w:ind w:left="0"/>
              <w:jc w:val="both"/>
            </w:pPr>
            <w:r w:rsidRPr="00AC36D3">
              <w:rPr>
                <w:i/>
              </w:rPr>
              <w:t>Dále s ohledem na výši předpokládané hodnoty veřejné zakázky a její význam pro výkon agend zadavatele má zadavatel za to, že požadavek na vzdělání a odbornou kvalifikaci je zcela odůvodněný.  Kvalifikovaný výkon činností zajišťovaných dodavatelem je totiž pro zajištění řádného plnění veřejné zakázky s ohledem na její složitost zcela nezbytný.</w:t>
            </w:r>
          </w:p>
        </w:tc>
      </w:tr>
      <w:tr w:rsidR="00AC5495" w:rsidRPr="0088308A" w:rsidTr="002D2125">
        <w:tc>
          <w:tcPr>
            <w:tcW w:w="3794" w:type="dxa"/>
          </w:tcPr>
          <w:p w:rsidR="00AC5495" w:rsidRDefault="00AC5495" w:rsidP="007F209A">
            <w:pPr>
              <w:pStyle w:val="Odstavecseseznamem"/>
              <w:spacing w:before="60" w:after="60"/>
              <w:ind w:left="0"/>
              <w:jc w:val="both"/>
            </w:pPr>
            <w:r w:rsidRPr="0088308A">
              <w:t>Odůvodnění přiměřenosti požadavku na předložení popisu technického vybavení a opatření používaných dodavatelem k zajištění jakosti a popis zařízení či vybavení dodavatele určeného k provádění výzkumu.</w:t>
            </w:r>
          </w:p>
          <w:p w:rsidR="00AC5495" w:rsidRPr="0088308A" w:rsidRDefault="00AC5495" w:rsidP="007F209A">
            <w:pPr>
              <w:pStyle w:val="Odstavecseseznamem"/>
              <w:spacing w:before="60" w:after="60"/>
              <w:ind w:left="0"/>
              <w:jc w:val="both"/>
            </w:pPr>
            <w:r w:rsidRPr="0088308A">
              <w:t xml:space="preserve"> </w:t>
            </w:r>
          </w:p>
        </w:tc>
        <w:tc>
          <w:tcPr>
            <w:tcW w:w="5528" w:type="dxa"/>
          </w:tcPr>
          <w:p w:rsidR="00AC5495" w:rsidRPr="00AB2FC2" w:rsidRDefault="00AC5495" w:rsidP="000912BE">
            <w:pPr>
              <w:pStyle w:val="Odstavecseseznamem"/>
              <w:ind w:left="0"/>
              <w:jc w:val="both"/>
            </w:pPr>
            <w:r w:rsidRPr="00AC36D3">
              <w:rPr>
                <w:i/>
              </w:rPr>
              <w:t>Zadavatel nepožaduje předložení popisu technického vybavení a opatření používaných dodavatelem k zajištění jakosti a popis zařízení či vybavení dodavatele určeného k provádění výzkumu.</w:t>
            </w:r>
          </w:p>
        </w:tc>
      </w:tr>
      <w:tr w:rsidR="00AC5495" w:rsidRPr="0088308A" w:rsidTr="002D2125">
        <w:tc>
          <w:tcPr>
            <w:tcW w:w="3794" w:type="dxa"/>
          </w:tcPr>
          <w:p w:rsidR="00AC5495" w:rsidRPr="0088308A" w:rsidRDefault="00AC5495" w:rsidP="007F209A">
            <w:pPr>
              <w:pStyle w:val="Odstavecseseznamem"/>
              <w:spacing w:before="60" w:after="60"/>
              <w:ind w:left="0"/>
              <w:jc w:val="both"/>
            </w:pPr>
            <w:r w:rsidRPr="0088308A">
              <w:t>Odůvodnění přiměřenosti požadavku na provedení kontroly výrobní kapacity veřejným zadavatelem nebo jinou osobou jeho jménem, případně provedení kontroly opatření týkajících se zabezpečení jakosti a výzkumu.</w:t>
            </w:r>
          </w:p>
        </w:tc>
        <w:tc>
          <w:tcPr>
            <w:tcW w:w="5528" w:type="dxa"/>
          </w:tcPr>
          <w:p w:rsidR="00AC5495" w:rsidRPr="00AB2FC2" w:rsidRDefault="00AC5495" w:rsidP="000912BE">
            <w:pPr>
              <w:pStyle w:val="Odstavecseseznamem"/>
              <w:ind w:left="0"/>
              <w:jc w:val="both"/>
            </w:pPr>
            <w:r w:rsidRPr="00AC36D3">
              <w:rPr>
                <w:i/>
              </w:rPr>
              <w:t>Zadavatel nepožaduje provedení kontroly technické kapacity veřejným zadavatelem nebo jinou osobou jeho jménem, ani provedení kontroly opatření týkajících se zabezpečení jakosti a výzkumu.</w:t>
            </w:r>
          </w:p>
        </w:tc>
      </w:tr>
      <w:tr w:rsidR="00AC5495" w:rsidRPr="0088308A" w:rsidTr="002D2125">
        <w:tc>
          <w:tcPr>
            <w:tcW w:w="3794" w:type="dxa"/>
          </w:tcPr>
          <w:p w:rsidR="00AC5495" w:rsidRPr="0088308A" w:rsidRDefault="00AC5495" w:rsidP="007F209A">
            <w:pPr>
              <w:pStyle w:val="Odstavecseseznamem"/>
              <w:spacing w:before="60" w:after="60"/>
              <w:ind w:left="0"/>
              <w:jc w:val="both"/>
            </w:pPr>
            <w:r w:rsidRPr="0088308A">
              <w:t>Odůvodnění přiměřenosti požadavku na předložení vzorků, popisů nebo fotografií zboží určeného k dodání.</w:t>
            </w:r>
          </w:p>
        </w:tc>
        <w:tc>
          <w:tcPr>
            <w:tcW w:w="5528" w:type="dxa"/>
          </w:tcPr>
          <w:p w:rsidR="00AC5495" w:rsidRPr="00AB2FC2" w:rsidRDefault="00AC5495" w:rsidP="000912BE">
            <w:pPr>
              <w:pStyle w:val="Odstavecseseznamem"/>
              <w:ind w:left="0"/>
              <w:jc w:val="both"/>
            </w:pPr>
            <w:r w:rsidRPr="00AC36D3">
              <w:rPr>
                <w:i/>
              </w:rPr>
              <w:t>Zadavatel nepožaduje předložení vzorků, popisů nebo fotografií zboží určeného k dodání.</w:t>
            </w:r>
          </w:p>
        </w:tc>
      </w:tr>
      <w:tr w:rsidR="00AC5495" w:rsidRPr="0088308A" w:rsidTr="002D2125">
        <w:tc>
          <w:tcPr>
            <w:tcW w:w="3794" w:type="dxa"/>
          </w:tcPr>
          <w:p w:rsidR="00AC5495" w:rsidRPr="0088308A" w:rsidRDefault="00AC5495" w:rsidP="007F209A">
            <w:pPr>
              <w:pStyle w:val="Odstavecseseznamem"/>
              <w:spacing w:before="60" w:after="60"/>
              <w:ind w:left="0"/>
              <w:jc w:val="both"/>
            </w:pPr>
            <w:r w:rsidRPr="0088308A">
              <w:t>Odůvodnění přiměřenosti požadavku na předložení dokladu prokazujícího shodu požadovaného výrobku vydaného příslušným orgánem.</w:t>
            </w:r>
          </w:p>
        </w:tc>
        <w:tc>
          <w:tcPr>
            <w:tcW w:w="5528" w:type="dxa"/>
          </w:tcPr>
          <w:p w:rsidR="00AC5495" w:rsidRPr="00AB2FC2" w:rsidRDefault="00AC5495" w:rsidP="000912BE">
            <w:pPr>
              <w:pStyle w:val="Odstavecseseznamem"/>
              <w:ind w:left="0"/>
              <w:jc w:val="both"/>
            </w:pPr>
            <w:r w:rsidRPr="00AC36D3">
              <w:rPr>
                <w:i/>
              </w:rPr>
              <w:t>Zadavatel nepožaduje předložení dokladu prokazujícího shodu požadovaného výrobku vydaného příslušným orgánem.</w:t>
            </w:r>
          </w:p>
        </w:tc>
      </w:tr>
    </w:tbl>
    <w:p w:rsidR="002D2125" w:rsidRPr="0088308A" w:rsidRDefault="002D2125" w:rsidP="00FB21E1">
      <w:pPr>
        <w:pStyle w:val="Odstavecseseznamem"/>
        <w:ind w:left="0"/>
        <w:rPr>
          <w:rFonts w:eastAsia="MS Mincho"/>
          <w:b/>
          <w:bCs/>
        </w:rPr>
      </w:pPr>
    </w:p>
    <w:p w:rsidR="002D2125" w:rsidRPr="0088308A" w:rsidRDefault="002D2125" w:rsidP="002D2125">
      <w:pPr>
        <w:pStyle w:val="Prosttext"/>
        <w:spacing w:after="120"/>
        <w:jc w:val="both"/>
        <w:rPr>
          <w:rFonts w:ascii="Times New Roman" w:eastAsia="MS Mincho" w:hAnsi="Times New Roman" w:cs="Times New Roman"/>
          <w:i/>
          <w:iCs/>
          <w:color w:val="FF0000"/>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2D2125" w:rsidRPr="0088308A" w:rsidTr="00FB21E1">
        <w:tc>
          <w:tcPr>
            <w:tcW w:w="9322" w:type="dxa"/>
            <w:gridSpan w:val="2"/>
          </w:tcPr>
          <w:p w:rsidR="002D2125" w:rsidRPr="0088308A" w:rsidRDefault="002D2125" w:rsidP="009848D8">
            <w:pPr>
              <w:pStyle w:val="Odstavecseseznamem"/>
              <w:ind w:left="0"/>
              <w:jc w:val="center"/>
              <w:rPr>
                <w:color w:val="FF0000"/>
              </w:rPr>
            </w:pPr>
            <w:r w:rsidRPr="0088308A">
              <w:rPr>
                <w:b/>
              </w:rPr>
              <w:t xml:space="preserve">Odůvodnění přiměřenosti požadavků na technické kvalifikační předpoklady pro plnění veřejné zakázky </w:t>
            </w:r>
            <w:r w:rsidRPr="0088308A">
              <w:rPr>
                <w:b/>
                <w:u w:val="single"/>
              </w:rPr>
              <w:t>na služby</w:t>
            </w:r>
          </w:p>
        </w:tc>
      </w:tr>
      <w:tr w:rsidR="002D2125" w:rsidRPr="0088308A" w:rsidTr="00FB21E1">
        <w:tc>
          <w:tcPr>
            <w:tcW w:w="3794" w:type="dxa"/>
          </w:tcPr>
          <w:p w:rsidR="002D2125" w:rsidRPr="0088308A" w:rsidRDefault="002D2125" w:rsidP="00B34DD6">
            <w:pPr>
              <w:pStyle w:val="Odstavecseseznamem"/>
              <w:spacing w:before="60" w:after="60"/>
              <w:ind w:left="0"/>
              <w:jc w:val="both"/>
              <w:rPr>
                <w:color w:val="FF0000"/>
              </w:rPr>
            </w:pPr>
            <w:r w:rsidRPr="0088308A">
              <w:t xml:space="preserve">Odůvodnění přiměřenosti požadavků na seznam významných služeb. </w:t>
            </w:r>
            <w:r w:rsidRPr="0088308A">
              <w:rPr>
                <w:i/>
              </w:rPr>
              <w:t>(Organizátor povinně vyplní, pokud požadovaná finanční hodnota všech významných služeb činí v souhrnu minimálně trojnásobek předpokládané hodnoty veřejné zakázky.)</w:t>
            </w:r>
          </w:p>
        </w:tc>
        <w:tc>
          <w:tcPr>
            <w:tcW w:w="5528" w:type="dxa"/>
          </w:tcPr>
          <w:p w:rsidR="002D2125" w:rsidRPr="00835335" w:rsidRDefault="002D2125" w:rsidP="00B34DD6">
            <w:pPr>
              <w:pStyle w:val="Odstavecseseznamem"/>
              <w:spacing w:before="60" w:after="60"/>
              <w:ind w:left="0"/>
              <w:rPr>
                <w:i/>
                <w:color w:val="FF0000"/>
              </w:rPr>
            </w:pPr>
          </w:p>
        </w:tc>
      </w:tr>
      <w:tr w:rsidR="002D2125" w:rsidRPr="0088308A" w:rsidTr="00FB21E1">
        <w:tc>
          <w:tcPr>
            <w:tcW w:w="3794" w:type="dxa"/>
          </w:tcPr>
          <w:p w:rsidR="002D2125" w:rsidRPr="0088308A" w:rsidRDefault="002D2125" w:rsidP="00B34DD6">
            <w:pPr>
              <w:pStyle w:val="Odstavecseseznamem"/>
              <w:spacing w:before="60" w:after="60"/>
              <w:ind w:left="0"/>
              <w:jc w:val="both"/>
              <w:rPr>
                <w:color w:val="FF0000"/>
              </w:rPr>
            </w:pPr>
            <w:r w:rsidRPr="0088308A">
              <w:t xml:space="preserve">Odůvodnění přiměřenosti požadavku na předložení seznamu techniků či technických útvarů. </w:t>
            </w:r>
            <w:r w:rsidRPr="003F5F9B">
              <w:rPr>
                <w:i/>
              </w:rPr>
              <w:t>(Organizátor povinně vyplní, pokud požaduje předložení seznamu více než 3 techniků či technických útvarů.)</w:t>
            </w:r>
          </w:p>
        </w:tc>
        <w:tc>
          <w:tcPr>
            <w:tcW w:w="5528" w:type="dxa"/>
          </w:tcPr>
          <w:p w:rsidR="002D2125" w:rsidRPr="00835335" w:rsidRDefault="002D2125" w:rsidP="003512A8">
            <w:pPr>
              <w:pStyle w:val="Odstavecseseznamem"/>
              <w:spacing w:before="60" w:after="60"/>
              <w:ind w:left="0"/>
              <w:rPr>
                <w:i/>
                <w:color w:val="FF0000"/>
              </w:rPr>
            </w:pPr>
          </w:p>
        </w:tc>
      </w:tr>
      <w:tr w:rsidR="002D2125" w:rsidRPr="003F5F9B" w:rsidTr="00FB21E1">
        <w:tc>
          <w:tcPr>
            <w:tcW w:w="3794" w:type="dxa"/>
          </w:tcPr>
          <w:p w:rsidR="002D2125" w:rsidRPr="003F5F9B" w:rsidRDefault="002D2125" w:rsidP="00B34DD6">
            <w:pPr>
              <w:pStyle w:val="Odstavecseseznamem"/>
              <w:spacing w:before="60" w:after="60"/>
              <w:ind w:left="0"/>
              <w:jc w:val="both"/>
              <w:rPr>
                <w:color w:val="FF0000"/>
              </w:rPr>
            </w:pPr>
            <w:r w:rsidRPr="003F5F9B">
              <w:t>Odůvodnění přiměřenosti požadavku na předložení popisu technického vybavení a opatření používaných dodavatelem k zajištění jakosti a popis zařízení či vybavení dodavatele určeného k provádění výzkumu.</w:t>
            </w:r>
          </w:p>
        </w:tc>
        <w:tc>
          <w:tcPr>
            <w:tcW w:w="5528" w:type="dxa"/>
          </w:tcPr>
          <w:p w:rsidR="002D2125" w:rsidRPr="00835335" w:rsidRDefault="002D2125" w:rsidP="00B34DD6">
            <w:pPr>
              <w:pStyle w:val="Odstavecseseznamem"/>
              <w:spacing w:before="60" w:after="60"/>
              <w:ind w:left="0"/>
              <w:rPr>
                <w:i/>
                <w:color w:val="FF0000"/>
              </w:rPr>
            </w:pPr>
          </w:p>
        </w:tc>
      </w:tr>
      <w:tr w:rsidR="002D2125" w:rsidRPr="003F5F9B" w:rsidTr="00FB21E1">
        <w:tc>
          <w:tcPr>
            <w:tcW w:w="3794" w:type="dxa"/>
          </w:tcPr>
          <w:p w:rsidR="002D2125" w:rsidRPr="003F5F9B" w:rsidRDefault="002D2125" w:rsidP="00B34DD6">
            <w:pPr>
              <w:pStyle w:val="Odstavecseseznamem"/>
              <w:spacing w:before="60" w:after="60"/>
              <w:ind w:left="0"/>
              <w:jc w:val="both"/>
            </w:pPr>
            <w:r w:rsidRPr="003F5F9B">
              <w:t>Odůvodnění přiměřenosti požadavku na provedení kontroly technické kapacity veřejným zadavatelem nebo jinou osobou jeho jménem, případně provedení kontroly opatření týkajících se zabezpečení jakosti a výzkumu.</w:t>
            </w:r>
          </w:p>
        </w:tc>
        <w:tc>
          <w:tcPr>
            <w:tcW w:w="5528" w:type="dxa"/>
          </w:tcPr>
          <w:p w:rsidR="002D2125" w:rsidRPr="00835335" w:rsidRDefault="002D2125" w:rsidP="003512A8">
            <w:pPr>
              <w:pStyle w:val="Odstavecseseznamem"/>
              <w:spacing w:before="60" w:after="60"/>
              <w:ind w:left="0"/>
              <w:rPr>
                <w:i/>
                <w:color w:val="FF0000"/>
              </w:rPr>
            </w:pPr>
          </w:p>
        </w:tc>
      </w:tr>
      <w:tr w:rsidR="002D2125" w:rsidRPr="005D5EDB" w:rsidTr="00FB21E1">
        <w:tc>
          <w:tcPr>
            <w:tcW w:w="3794" w:type="dxa"/>
          </w:tcPr>
          <w:p w:rsidR="002D2125" w:rsidRPr="00AB2FC2" w:rsidRDefault="002D2125" w:rsidP="00B34DD6">
            <w:pPr>
              <w:pStyle w:val="Odstavecseseznamem"/>
              <w:spacing w:before="60" w:after="60"/>
              <w:ind w:left="0"/>
              <w:jc w:val="both"/>
            </w:pPr>
            <w:r w:rsidRPr="00AC36D3">
              <w:t>Odůvodnění přiměřenosti požadavku na předložení osvědčení o vzdělání a odborné kvalifikaci dodavatele nebo vedoucích zaměstnanců dodavatele nebo osob v obdobném postavení a osob odpovědných za poskytování příslušných služeb</w:t>
            </w:r>
            <w:r w:rsidR="00036DC1" w:rsidRPr="00AC36D3">
              <w:t>.</w:t>
            </w:r>
            <w:r w:rsidRPr="00AC36D3">
              <w:t xml:space="preserve"> </w:t>
            </w:r>
            <w:r w:rsidRPr="00AC36D3">
              <w:rPr>
                <w:i/>
              </w:rPr>
              <w:t>(Organizátor povinně vyplní, pokud požaduje předložení osvědčení o vyšším stupni vzdělání než je SŠ s maturitou, nebo osvědčení o odborné kvalifikaci delší než tři roky.)</w:t>
            </w:r>
          </w:p>
        </w:tc>
        <w:tc>
          <w:tcPr>
            <w:tcW w:w="5528" w:type="dxa"/>
          </w:tcPr>
          <w:p w:rsidR="00E6767B" w:rsidRPr="00AC36D3" w:rsidRDefault="00E6767B" w:rsidP="000912BE">
            <w:pPr>
              <w:pStyle w:val="Odstavecseseznamem"/>
              <w:ind w:left="0"/>
              <w:jc w:val="both"/>
              <w:rPr>
                <w:i/>
              </w:rPr>
            </w:pPr>
            <w:r w:rsidRPr="00AC36D3">
              <w:rPr>
                <w:i/>
              </w:rPr>
              <w:t>S ohledem na výši předpokládané hodnoty veřejné zakázky a její význam pro výkon agend zadavatele zadavatel požaduje, aby dodavatel disponoval nejen zkušeností jako právnická osoba, ale vzhledem k tomu, že se jedná v tomto zadávacím řízení o poskytování výše uvedeného plnění, požaduje zadavatel, aby uchazeč prokázal disponibilitu odpovídajících techniků. Požadované množství techniků a jejich požadovaná kvalifikace je naprosto odpovídající požadovanému plnění, a to zejména s ohledem na jeho rozsah a složitost.</w:t>
            </w:r>
          </w:p>
          <w:p w:rsidR="002D2125" w:rsidRPr="00AB2FC2" w:rsidRDefault="00E6767B" w:rsidP="000912BE">
            <w:pPr>
              <w:pStyle w:val="Odstavecseseznamem"/>
              <w:spacing w:before="60" w:after="60"/>
              <w:ind w:left="0"/>
              <w:jc w:val="both"/>
              <w:rPr>
                <w:i/>
                <w:color w:val="FF0000"/>
              </w:rPr>
            </w:pPr>
            <w:r w:rsidRPr="00AC36D3">
              <w:rPr>
                <w:i/>
              </w:rPr>
              <w:t>Dále s ohledem na výši předpokládané hodnoty veřejné zakázky a její význam pro výkon agend zadavatele má zadavatel za to, že požadavek na vzdělání a odbornou kvalifikaci je zcela odůvodněný.  Kvalifikovaný výkon činností zajišťovaných dodavatelem je totiž pro zajištění řádného plnění veřejné zakázky s ohledem na její složitost zcela nezbytný.</w:t>
            </w:r>
          </w:p>
        </w:tc>
      </w:tr>
      <w:tr w:rsidR="002D2125" w:rsidRPr="003F5F9B" w:rsidTr="00FB21E1">
        <w:tc>
          <w:tcPr>
            <w:tcW w:w="3794" w:type="dxa"/>
          </w:tcPr>
          <w:p w:rsidR="002D2125" w:rsidRPr="003F5F9B" w:rsidRDefault="002D2125" w:rsidP="00B34DD6">
            <w:pPr>
              <w:pStyle w:val="Odstavecseseznamem"/>
              <w:spacing w:before="60" w:after="60"/>
              <w:ind w:left="0"/>
              <w:jc w:val="both"/>
            </w:pPr>
            <w:r w:rsidRPr="003F5F9B">
              <w:t>Odůvodnění přiměřenosti požadavku na předložení přehledu průměrného ročního počtu zaměstnanců dodavatele či jiných osob podílejících se na plnění zakázek podobného charakteru a počtu vedoucích zaměstnanců dodavatele nebo osob v obdobném postavení.</w:t>
            </w:r>
          </w:p>
        </w:tc>
        <w:tc>
          <w:tcPr>
            <w:tcW w:w="5528" w:type="dxa"/>
          </w:tcPr>
          <w:p w:rsidR="002D2125" w:rsidRPr="00835335" w:rsidRDefault="002D2125" w:rsidP="003512A8">
            <w:pPr>
              <w:pStyle w:val="Odstavecseseznamem"/>
              <w:spacing w:before="60" w:after="60"/>
              <w:ind w:left="0"/>
              <w:jc w:val="both"/>
              <w:rPr>
                <w:i/>
                <w:color w:val="FF0000"/>
              </w:rPr>
            </w:pPr>
          </w:p>
        </w:tc>
      </w:tr>
      <w:tr w:rsidR="002D2125" w:rsidRPr="003F5F9B" w:rsidTr="00FB21E1">
        <w:tc>
          <w:tcPr>
            <w:tcW w:w="3794" w:type="dxa"/>
          </w:tcPr>
          <w:p w:rsidR="002D2125" w:rsidRPr="003F5F9B" w:rsidRDefault="002D2125" w:rsidP="00B34DD6">
            <w:pPr>
              <w:pStyle w:val="Odstavecseseznamem"/>
              <w:spacing w:before="60" w:after="60"/>
              <w:ind w:left="0"/>
              <w:jc w:val="both"/>
            </w:pPr>
            <w:r w:rsidRPr="003F5F9B">
              <w:t>Odůvodnění přiměřenosti požadavku na předložení přehledu nástrojů či pomůcek, provozních a technických zařízení, které bude mít dodavatel při plnění veřejné zakázky k dispozici.</w:t>
            </w:r>
          </w:p>
        </w:tc>
        <w:tc>
          <w:tcPr>
            <w:tcW w:w="5528" w:type="dxa"/>
          </w:tcPr>
          <w:p w:rsidR="002D2125" w:rsidRPr="00835335" w:rsidRDefault="002D2125" w:rsidP="00B34DD6">
            <w:pPr>
              <w:pStyle w:val="Odstavecseseznamem"/>
              <w:spacing w:before="60" w:after="60"/>
              <w:ind w:left="0"/>
              <w:rPr>
                <w:i/>
                <w:color w:val="FF0000"/>
              </w:rPr>
            </w:pPr>
          </w:p>
        </w:tc>
      </w:tr>
    </w:tbl>
    <w:p w:rsidR="002D2125" w:rsidRPr="003F5F9B" w:rsidRDefault="002D2125" w:rsidP="00FB21E1">
      <w:pPr>
        <w:pStyle w:val="Prosttext"/>
        <w:jc w:val="both"/>
        <w:rPr>
          <w:rFonts w:ascii="Times New Roman" w:eastAsia="MS Mincho" w:hAnsi="Times New Roman" w:cs="Times New Roman"/>
          <w:i/>
          <w:iCs/>
          <w:color w:val="FF0000"/>
          <w:sz w:val="24"/>
          <w:szCs w:val="24"/>
        </w:rPr>
      </w:pPr>
    </w:p>
    <w:p w:rsidR="002D2125" w:rsidRDefault="002D2125" w:rsidP="002D2125">
      <w:pPr>
        <w:pStyle w:val="Prosttext"/>
        <w:spacing w:after="120"/>
        <w:jc w:val="both"/>
        <w:rPr>
          <w:rFonts w:ascii="Times New Roman" w:eastAsia="MS Mincho" w:hAnsi="Times New Roman" w:cs="Times New Roman"/>
          <w:i/>
          <w:iCs/>
          <w:color w:val="FF0000"/>
          <w:sz w:val="24"/>
          <w:szCs w:val="24"/>
        </w:rPr>
      </w:pPr>
    </w:p>
    <w:p w:rsidR="00602C6F" w:rsidRPr="003F5F9B" w:rsidRDefault="00602C6F" w:rsidP="002D2125">
      <w:pPr>
        <w:pStyle w:val="Prosttext"/>
        <w:spacing w:after="120"/>
        <w:jc w:val="both"/>
        <w:rPr>
          <w:rFonts w:ascii="Times New Roman" w:eastAsia="MS Mincho" w:hAnsi="Times New Roman" w:cs="Times New Roman"/>
          <w:i/>
          <w:iCs/>
          <w:color w:val="FF0000"/>
          <w:sz w:val="24"/>
          <w:szCs w:val="24"/>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2D2125" w:rsidRPr="003F5F9B" w:rsidTr="00FB21E1">
        <w:tc>
          <w:tcPr>
            <w:tcW w:w="9322" w:type="dxa"/>
            <w:gridSpan w:val="2"/>
          </w:tcPr>
          <w:p w:rsidR="002D2125" w:rsidRPr="003F5F9B" w:rsidRDefault="002D2125" w:rsidP="002F3315">
            <w:pPr>
              <w:pStyle w:val="Odstavecseseznamem"/>
              <w:ind w:left="0"/>
              <w:jc w:val="center"/>
              <w:rPr>
                <w:color w:val="FF0000"/>
              </w:rPr>
            </w:pPr>
            <w:r w:rsidRPr="003F5F9B">
              <w:rPr>
                <w:b/>
              </w:rPr>
              <w:t xml:space="preserve">Odůvodnění přiměřenosti požadavků na technické kvalifikační předpoklady pro plnění veřejné zakázky </w:t>
            </w:r>
            <w:r w:rsidRPr="003F5F9B">
              <w:rPr>
                <w:b/>
                <w:u w:val="single"/>
              </w:rPr>
              <w:t>na stavební práce</w:t>
            </w:r>
            <w:r w:rsidRPr="003F5F9B">
              <w:rPr>
                <w:b/>
              </w:rPr>
              <w:t xml:space="preserve"> </w:t>
            </w:r>
          </w:p>
        </w:tc>
      </w:tr>
      <w:tr w:rsidR="002D2125" w:rsidRPr="003F5F9B" w:rsidTr="00FB21E1">
        <w:tc>
          <w:tcPr>
            <w:tcW w:w="3794" w:type="dxa"/>
          </w:tcPr>
          <w:p w:rsidR="002D2125" w:rsidRPr="003F5F9B" w:rsidRDefault="002D2125" w:rsidP="00E91352">
            <w:pPr>
              <w:pStyle w:val="Odstavecseseznamem"/>
              <w:spacing w:before="60" w:after="60"/>
              <w:ind w:left="0"/>
              <w:jc w:val="both"/>
              <w:rPr>
                <w:color w:val="FF0000"/>
              </w:rPr>
            </w:pPr>
            <w:r w:rsidRPr="003F5F9B">
              <w:t xml:space="preserve">Odůvodnění přiměřenosti požadavku na předložení seznamu stavebních prací. </w:t>
            </w:r>
            <w:r w:rsidRPr="003F5F9B">
              <w:rPr>
                <w:i/>
              </w:rPr>
              <w:t>(Organizátor povinně vyplní, pokud požaduje předložení seznamu stavebních prací, ze kterého bude vyplývat, že finanční hodnota uvedených stavebních prací je v</w:t>
            </w:r>
            <w:r w:rsidR="000715CA">
              <w:rPr>
                <w:i/>
              </w:rPr>
              <w:t> </w:t>
            </w:r>
            <w:r w:rsidRPr="003F5F9B">
              <w:rPr>
                <w:i/>
              </w:rPr>
              <w:t xml:space="preserve">souhrnu minimálně </w:t>
            </w:r>
            <w:r w:rsidR="00E91352">
              <w:rPr>
                <w:i/>
              </w:rPr>
              <w:t>dvojnásobek</w:t>
            </w:r>
            <w:r w:rsidR="00E91352" w:rsidRPr="003F5F9B">
              <w:rPr>
                <w:i/>
              </w:rPr>
              <w:t xml:space="preserve"> </w:t>
            </w:r>
            <w:r w:rsidRPr="003F5F9B">
              <w:rPr>
                <w:i/>
              </w:rPr>
              <w:t>předpokládané hodnoty veřejné zakázky.)</w:t>
            </w:r>
          </w:p>
        </w:tc>
        <w:tc>
          <w:tcPr>
            <w:tcW w:w="5528" w:type="dxa"/>
          </w:tcPr>
          <w:p w:rsidR="002D2125" w:rsidRPr="003F5F9B" w:rsidRDefault="002D2125" w:rsidP="001176F8">
            <w:pPr>
              <w:pStyle w:val="Odstavecseseznamem"/>
              <w:spacing w:before="60" w:after="60"/>
              <w:ind w:left="0"/>
              <w:rPr>
                <w:color w:val="FF0000"/>
              </w:rPr>
            </w:pPr>
          </w:p>
        </w:tc>
      </w:tr>
      <w:tr w:rsidR="002D2125" w:rsidRPr="003F5F9B" w:rsidTr="00FB21E1">
        <w:tc>
          <w:tcPr>
            <w:tcW w:w="3794" w:type="dxa"/>
          </w:tcPr>
          <w:p w:rsidR="002D2125" w:rsidRDefault="002D2125" w:rsidP="001176F8">
            <w:pPr>
              <w:pStyle w:val="Odstavecseseznamem"/>
              <w:spacing w:before="60" w:after="60"/>
              <w:ind w:left="0"/>
              <w:jc w:val="both"/>
              <w:rPr>
                <w:i/>
              </w:rPr>
            </w:pPr>
            <w:r w:rsidRPr="003F5F9B">
              <w:t xml:space="preserve">Odůvodnění přiměřenosti požadavku na předložení seznamu techniků či technických útvarů. </w:t>
            </w:r>
            <w:r w:rsidRPr="003F5F9B">
              <w:rPr>
                <w:i/>
              </w:rPr>
              <w:t>(Organizátor povinně vyplní, pokud požaduje předložení seznamu více než 3 techniků či technických útvarů.)</w:t>
            </w:r>
          </w:p>
          <w:p w:rsidR="00F62259" w:rsidRPr="003F5F9B" w:rsidRDefault="00F62259" w:rsidP="001176F8">
            <w:pPr>
              <w:pStyle w:val="Odstavecseseznamem"/>
              <w:spacing w:before="60" w:after="60"/>
              <w:ind w:left="0"/>
              <w:jc w:val="both"/>
              <w:rPr>
                <w:color w:val="FF0000"/>
              </w:rPr>
            </w:pPr>
          </w:p>
        </w:tc>
        <w:tc>
          <w:tcPr>
            <w:tcW w:w="5528" w:type="dxa"/>
          </w:tcPr>
          <w:p w:rsidR="002D2125" w:rsidRPr="003F5F9B" w:rsidRDefault="002D2125" w:rsidP="001176F8">
            <w:pPr>
              <w:pStyle w:val="Odstavecseseznamem"/>
              <w:spacing w:before="60" w:after="60"/>
              <w:ind w:left="0"/>
              <w:rPr>
                <w:color w:val="FF0000"/>
              </w:rPr>
            </w:pPr>
          </w:p>
        </w:tc>
      </w:tr>
      <w:tr w:rsidR="002D2125" w:rsidRPr="003F5F9B" w:rsidTr="00FB21E1">
        <w:tc>
          <w:tcPr>
            <w:tcW w:w="3794" w:type="dxa"/>
          </w:tcPr>
          <w:p w:rsidR="002D2125" w:rsidRPr="003F5F9B" w:rsidRDefault="002D2125" w:rsidP="00E91352">
            <w:pPr>
              <w:pStyle w:val="Odstavecseseznamem"/>
              <w:spacing w:before="60" w:after="60"/>
              <w:ind w:left="0"/>
              <w:jc w:val="both"/>
            </w:pPr>
            <w:r w:rsidRPr="003F5F9B">
              <w:t>Odůvodnění přiměřenosti požadavku na předložení osvědčení o vzdělání a</w:t>
            </w:r>
            <w:r w:rsidR="000715CA">
              <w:t> </w:t>
            </w:r>
            <w:r w:rsidRPr="003F5F9B">
              <w:t>odborné kvalifikaci dodavatele nebo vedoucích zaměstnanců dodavatele nebo osob v obdobném postavení a osob odpovědných za</w:t>
            </w:r>
            <w:r w:rsidR="000715CA">
              <w:t> </w:t>
            </w:r>
            <w:r w:rsidRPr="003F5F9B">
              <w:t xml:space="preserve">vedení realizace stavebních prací. </w:t>
            </w:r>
            <w:r w:rsidRPr="003F5F9B">
              <w:rPr>
                <w:i/>
              </w:rPr>
              <w:t>(Organizátor povinně vyplní, pokud požaduje předložení osvědčení o</w:t>
            </w:r>
            <w:r w:rsidR="000715CA">
              <w:rPr>
                <w:i/>
              </w:rPr>
              <w:t> </w:t>
            </w:r>
            <w:r w:rsidRPr="003F5F9B">
              <w:rPr>
                <w:i/>
              </w:rPr>
              <w:t xml:space="preserve">vyšším stupni vzdělání než je středoškolské s maturitou, nebo osvědčení o odborné kvalifikaci delší než </w:t>
            </w:r>
            <w:r w:rsidR="00E91352">
              <w:rPr>
                <w:i/>
              </w:rPr>
              <w:t>5 let</w:t>
            </w:r>
            <w:r w:rsidRPr="003F5F9B">
              <w:rPr>
                <w:i/>
              </w:rPr>
              <w:t>.)</w:t>
            </w:r>
          </w:p>
        </w:tc>
        <w:tc>
          <w:tcPr>
            <w:tcW w:w="5528" w:type="dxa"/>
          </w:tcPr>
          <w:p w:rsidR="002D2125" w:rsidRPr="003F5F9B" w:rsidRDefault="002D2125" w:rsidP="001176F8">
            <w:pPr>
              <w:pStyle w:val="Odstavecseseznamem"/>
              <w:spacing w:before="60" w:after="60"/>
              <w:ind w:left="0"/>
              <w:rPr>
                <w:color w:val="FF0000"/>
              </w:rPr>
            </w:pPr>
          </w:p>
        </w:tc>
      </w:tr>
      <w:tr w:rsidR="002D2125" w:rsidRPr="003F5F9B" w:rsidTr="00FB21E1">
        <w:tc>
          <w:tcPr>
            <w:tcW w:w="3794" w:type="dxa"/>
          </w:tcPr>
          <w:p w:rsidR="002D2125" w:rsidRPr="003F5F9B" w:rsidRDefault="002D2125" w:rsidP="000715CA">
            <w:pPr>
              <w:pStyle w:val="Odstavecseseznamem"/>
              <w:spacing w:before="60" w:after="60"/>
              <w:ind w:left="0"/>
              <w:jc w:val="both"/>
            </w:pPr>
            <w:r w:rsidRPr="003F5F9B">
              <w:t>Odůvodnění požadavku na</w:t>
            </w:r>
            <w:r w:rsidR="000715CA">
              <w:t> </w:t>
            </w:r>
            <w:r w:rsidRPr="003F5F9B">
              <w:t>předložení přehledu průměrného ročního počtu zaměstnanců dodavatele či jiných osob podílejících se na plnění zakázek podobného charakteru a počtu vedoucích zaměstnanců dodavatele nebo osob v obdobném postavení.</w:t>
            </w:r>
          </w:p>
        </w:tc>
        <w:tc>
          <w:tcPr>
            <w:tcW w:w="5528" w:type="dxa"/>
          </w:tcPr>
          <w:p w:rsidR="002D2125" w:rsidRPr="003F5F9B" w:rsidRDefault="002D2125" w:rsidP="001176F8">
            <w:pPr>
              <w:pStyle w:val="Odstavecseseznamem"/>
              <w:spacing w:before="60" w:after="60"/>
              <w:ind w:left="0"/>
              <w:rPr>
                <w:color w:val="FF0000"/>
              </w:rPr>
            </w:pPr>
          </w:p>
        </w:tc>
      </w:tr>
      <w:tr w:rsidR="002D2125" w:rsidRPr="003F5F9B" w:rsidTr="00FB21E1">
        <w:tc>
          <w:tcPr>
            <w:tcW w:w="3794" w:type="dxa"/>
          </w:tcPr>
          <w:p w:rsidR="002D2125" w:rsidRPr="003F5F9B" w:rsidRDefault="002D2125" w:rsidP="000715CA">
            <w:pPr>
              <w:pStyle w:val="Odstavecseseznamem"/>
              <w:spacing w:before="60" w:after="60"/>
              <w:ind w:left="0"/>
              <w:jc w:val="both"/>
              <w:rPr>
                <w:color w:val="FF0000"/>
              </w:rPr>
            </w:pPr>
            <w:r w:rsidRPr="003F5F9B">
              <w:t>Odůvodnění přiměřenosti požadavku na předložení přehledu nástrojů či pomůcek, provozních a technických zařízení, které bude mít dodavatel při plnění veřejné zakázky k</w:t>
            </w:r>
            <w:r w:rsidR="000715CA">
              <w:t> </w:t>
            </w:r>
            <w:r w:rsidRPr="003F5F9B">
              <w:t>dispozici.</w:t>
            </w:r>
          </w:p>
        </w:tc>
        <w:tc>
          <w:tcPr>
            <w:tcW w:w="5528" w:type="dxa"/>
          </w:tcPr>
          <w:p w:rsidR="002D2125" w:rsidRPr="003F5F9B" w:rsidRDefault="002D2125" w:rsidP="001176F8">
            <w:pPr>
              <w:pStyle w:val="Odstavecseseznamem"/>
              <w:spacing w:before="60" w:after="60"/>
              <w:ind w:left="0"/>
              <w:rPr>
                <w:color w:val="FF0000"/>
              </w:rPr>
            </w:pPr>
          </w:p>
        </w:tc>
      </w:tr>
    </w:tbl>
    <w:p w:rsidR="002D2125" w:rsidRPr="00B20D14" w:rsidRDefault="002D2125" w:rsidP="00FB21E1">
      <w:pPr>
        <w:rPr>
          <w:rFonts w:eastAsia="MS Mincho"/>
        </w:rPr>
      </w:pPr>
    </w:p>
    <w:p w:rsidR="002D2125" w:rsidRPr="003A4406" w:rsidRDefault="002D2125" w:rsidP="00602C6F">
      <w:pPr>
        <w:spacing w:after="120"/>
        <w:ind w:right="22"/>
        <w:jc w:val="both"/>
        <w:rPr>
          <w:rFonts w:eastAsia="MS Mincho"/>
          <w:b/>
          <w:bCs/>
        </w:rPr>
      </w:pPr>
      <w:r w:rsidRPr="003A4406">
        <w:t xml:space="preserve">Odůvodnění </w:t>
      </w:r>
      <w:r w:rsidRPr="003A4406">
        <w:rPr>
          <w:b/>
        </w:rPr>
        <w:t>vymezení obchodních a technických podmínek</w:t>
      </w:r>
      <w:r w:rsidRPr="003A4406">
        <w:t xml:space="preserve"> veřejné zakázky ve vztahu k potřebám zadavatele</w:t>
      </w:r>
      <w:r w:rsidR="00463C58" w:rsidRPr="003A4406">
        <w:t xml:space="preserve"> a k rizikům souvisejícím s plněním veřejné zakázky</w:t>
      </w:r>
      <w:r w:rsidRPr="003A4406">
        <w:t>:</w:t>
      </w:r>
    </w:p>
    <w:p w:rsidR="00A56775" w:rsidRPr="00A92F48" w:rsidRDefault="00A56775" w:rsidP="00A92F48">
      <w:pPr>
        <w:pStyle w:val="Odstavecseseznamem"/>
        <w:spacing w:before="60" w:after="60"/>
        <w:ind w:left="0"/>
        <w:jc w:val="both"/>
      </w:pPr>
      <w:r w:rsidRPr="00BA160E">
        <w:t xml:space="preserve">S ohledem na výši předpokládané hodnoty veřejné zakázky a její význam pro výkon agend zadavatele zadavatel </w:t>
      </w:r>
      <w:r>
        <w:t>vymezil odpovídající obchodní podmínky, aby eliminoval zejména rizika vyplývající z případného prodlení při realizaci plnění, resp. z jeho případného neprovedení</w:t>
      </w:r>
      <w:r w:rsidRPr="00BA160E">
        <w:t>.</w:t>
      </w:r>
    </w:p>
    <w:p w:rsidR="006E0A0C" w:rsidRPr="003A4406" w:rsidRDefault="006E0A0C" w:rsidP="006E0A0C">
      <w:pPr>
        <w:spacing w:after="120"/>
        <w:ind w:left="360" w:right="22"/>
        <w:jc w:val="both"/>
        <w:rPr>
          <w:rFonts w:eastAsia="MS Mincho"/>
          <w:b/>
          <w:bCs/>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gridCol w:w="5528"/>
      </w:tblGrid>
      <w:tr w:rsidR="002D2125" w:rsidRPr="005D5EDB" w:rsidTr="003D1A19">
        <w:tc>
          <w:tcPr>
            <w:tcW w:w="9322" w:type="dxa"/>
            <w:gridSpan w:val="2"/>
          </w:tcPr>
          <w:p w:rsidR="002D2125" w:rsidRPr="003A4406" w:rsidRDefault="002D2125" w:rsidP="00A55460">
            <w:pPr>
              <w:jc w:val="center"/>
              <w:rPr>
                <w:color w:val="FF0000"/>
              </w:rPr>
            </w:pPr>
            <w:r w:rsidRPr="003A4406">
              <w:rPr>
                <w:b/>
              </w:rPr>
              <w:t xml:space="preserve">Odůvodnění vymezení </w:t>
            </w:r>
            <w:r w:rsidRPr="003A4406">
              <w:rPr>
                <w:b/>
                <w:u w:val="single"/>
              </w:rPr>
              <w:t>obchodních</w:t>
            </w:r>
            <w:r w:rsidRPr="003A4406">
              <w:rPr>
                <w:b/>
              </w:rPr>
              <w:t xml:space="preserve"> podmínek veřejné zakázky </w:t>
            </w:r>
            <w:r w:rsidRPr="003A4406">
              <w:rPr>
                <w:b/>
                <w:u w:val="single"/>
              </w:rPr>
              <w:t>na dodávky</w:t>
            </w:r>
            <w:r w:rsidRPr="003A4406">
              <w:rPr>
                <w:b/>
              </w:rPr>
              <w:t xml:space="preserve"> a veřejné zakázky </w:t>
            </w:r>
            <w:r w:rsidRPr="003A4406">
              <w:rPr>
                <w:b/>
                <w:u w:val="single"/>
              </w:rPr>
              <w:t>na služby</w:t>
            </w:r>
          </w:p>
        </w:tc>
      </w:tr>
      <w:tr w:rsidR="002D2125" w:rsidRPr="003A4406" w:rsidTr="003D1A19">
        <w:tc>
          <w:tcPr>
            <w:tcW w:w="3794" w:type="dxa"/>
          </w:tcPr>
          <w:p w:rsidR="002D2125" w:rsidRPr="003A4406" w:rsidRDefault="002D2125" w:rsidP="00CD4181">
            <w:pPr>
              <w:pStyle w:val="Odstavecseseznamem"/>
              <w:spacing w:before="60" w:after="60"/>
              <w:ind w:left="0"/>
              <w:jc w:val="both"/>
            </w:pPr>
            <w:r w:rsidRPr="003A4406">
              <w:t>Odůvodnění vymezení obchodní podmínky stanovící delší lhůtu splatnosti faktur než 30 dnů od data vystavení faktury.</w:t>
            </w:r>
          </w:p>
        </w:tc>
        <w:tc>
          <w:tcPr>
            <w:tcW w:w="5528" w:type="dxa"/>
          </w:tcPr>
          <w:p w:rsidR="002D2125" w:rsidRPr="00AC36D3" w:rsidRDefault="00D16A52" w:rsidP="000912BE">
            <w:pPr>
              <w:pStyle w:val="Odstavecseseznamem"/>
              <w:ind w:left="0"/>
              <w:jc w:val="both"/>
              <w:rPr>
                <w:i/>
              </w:rPr>
            </w:pPr>
            <w:r w:rsidRPr="00AC36D3">
              <w:rPr>
                <w:i/>
              </w:rPr>
              <w:t>Zadavatel nepožaduje lhůtu splatnosti faktur delší než 30 dnů</w:t>
            </w:r>
            <w:r w:rsidR="000759B4" w:rsidRPr="00AC36D3">
              <w:rPr>
                <w:i/>
              </w:rPr>
              <w:t xml:space="preserve"> od data vystavení faktury</w:t>
            </w:r>
            <w:r w:rsidR="000378C6" w:rsidRPr="00AC36D3">
              <w:rPr>
                <w:i/>
              </w:rPr>
              <w:t>, tento požadavek zadavatel proto neodůvodňuje</w:t>
            </w:r>
            <w:r w:rsidRPr="00AC36D3">
              <w:rPr>
                <w:i/>
              </w:rPr>
              <w:t xml:space="preserve">.   </w:t>
            </w:r>
          </w:p>
        </w:tc>
      </w:tr>
      <w:tr w:rsidR="002D2125" w:rsidRPr="003A4406" w:rsidTr="003D1A19">
        <w:tc>
          <w:tcPr>
            <w:tcW w:w="3794" w:type="dxa"/>
          </w:tcPr>
          <w:p w:rsidR="002D2125" w:rsidRPr="003A4406" w:rsidRDefault="002D2125" w:rsidP="00CD4181">
            <w:pPr>
              <w:pStyle w:val="Odstavecseseznamem"/>
              <w:spacing w:before="60" w:after="60"/>
              <w:ind w:left="0"/>
              <w:jc w:val="both"/>
            </w:pPr>
            <w:r w:rsidRPr="003A4406">
              <w:t>Odůvodnění vymezení obchodní podmínky stanovící požadavek na pojištění odpovědnosti za škodu způsobenou dodavatelem třetím osobám ve výši přesahující dvojnásobek předpokládané hodnoty veřejné zakázky.</w:t>
            </w:r>
          </w:p>
        </w:tc>
        <w:tc>
          <w:tcPr>
            <w:tcW w:w="5528" w:type="dxa"/>
          </w:tcPr>
          <w:p w:rsidR="002D2125" w:rsidRPr="00AC36D3" w:rsidRDefault="000759B4" w:rsidP="000912BE">
            <w:pPr>
              <w:pStyle w:val="Odstavecseseznamem"/>
              <w:ind w:left="0"/>
              <w:jc w:val="both"/>
              <w:rPr>
                <w:i/>
              </w:rPr>
            </w:pPr>
            <w:r w:rsidRPr="00AC36D3">
              <w:rPr>
                <w:i/>
              </w:rPr>
              <w:t>Zadavatel nepožaduje pojištění odpovědnosti za škodu způsobenou dodavatelem třetím osobám ve výši přesahující dvojnásobek předpokládané hodnoty veřejné zakázky</w:t>
            </w:r>
            <w:r w:rsidR="000378C6" w:rsidRPr="00AC36D3">
              <w:rPr>
                <w:i/>
              </w:rPr>
              <w:t>, tento požadavek zadavatel proto neodůvodňuje</w:t>
            </w:r>
            <w:r w:rsidRPr="00AC36D3">
              <w:rPr>
                <w:i/>
              </w:rPr>
              <w:t>.</w:t>
            </w:r>
          </w:p>
        </w:tc>
      </w:tr>
      <w:tr w:rsidR="00F318F9" w:rsidRPr="003A4406" w:rsidTr="003D1A19">
        <w:tc>
          <w:tcPr>
            <w:tcW w:w="3794" w:type="dxa"/>
          </w:tcPr>
          <w:p w:rsidR="00F318F9" w:rsidRPr="003A4406" w:rsidRDefault="00F318F9" w:rsidP="00CD4181">
            <w:pPr>
              <w:pStyle w:val="Odstavecseseznamem"/>
              <w:spacing w:before="60" w:after="60"/>
              <w:ind w:left="0"/>
              <w:jc w:val="both"/>
            </w:pPr>
            <w:r w:rsidRPr="003A4406">
              <w:t>Odůvodnění vymezení obchodní podmínky stanovící požadavek bankovní záruky vyšší než je 5 % ceny veřejné zakázky.</w:t>
            </w:r>
          </w:p>
        </w:tc>
        <w:tc>
          <w:tcPr>
            <w:tcW w:w="5528" w:type="dxa"/>
          </w:tcPr>
          <w:p w:rsidR="00F318F9" w:rsidRPr="00AC36D3" w:rsidRDefault="00F318F9" w:rsidP="000912BE">
            <w:pPr>
              <w:pStyle w:val="Odstavecseseznamem"/>
              <w:ind w:left="0"/>
              <w:jc w:val="both"/>
              <w:rPr>
                <w:i/>
              </w:rPr>
            </w:pPr>
            <w:r w:rsidRPr="00AC36D3">
              <w:rPr>
                <w:i/>
              </w:rPr>
              <w:t>Zadavatel požaduje bankovní záruku vyšší než 5 % ceny veřejné zakázky</w:t>
            </w:r>
            <w:r w:rsidR="005A2F45" w:rsidRPr="00AC36D3">
              <w:rPr>
                <w:i/>
              </w:rPr>
              <w:t xml:space="preserve"> z důvodu nezbytnosti finančního zajištění řádné realizovatelnosti cílů sledovaných veřejnou zakázkou, neboť v případě vzniku jakýchkoliv realizačních problémů v naplňování veřejné zakázky umožní finanční plnění z bankovní záruky rychlé a efektivní pořízení případného náhradního plnění</w:t>
            </w:r>
            <w:r w:rsidRPr="00AC36D3">
              <w:rPr>
                <w:i/>
              </w:rPr>
              <w:t>.</w:t>
            </w:r>
          </w:p>
        </w:tc>
      </w:tr>
      <w:tr w:rsidR="00F318F9" w:rsidRPr="003A4406" w:rsidTr="003D1A19">
        <w:tc>
          <w:tcPr>
            <w:tcW w:w="3794" w:type="dxa"/>
          </w:tcPr>
          <w:p w:rsidR="00F318F9" w:rsidRPr="003A4406" w:rsidRDefault="00F318F9" w:rsidP="00CD4181">
            <w:pPr>
              <w:pStyle w:val="Odstavecseseznamem"/>
              <w:spacing w:before="60" w:after="60"/>
              <w:ind w:left="0"/>
              <w:jc w:val="both"/>
            </w:pPr>
            <w:r w:rsidRPr="003A4406">
              <w:t>Odůvodnění vymezení obchodní podmínky stanovící požadavek záruční lhůtu delší než 24 měsíců.</w:t>
            </w:r>
          </w:p>
        </w:tc>
        <w:tc>
          <w:tcPr>
            <w:tcW w:w="5528" w:type="dxa"/>
          </w:tcPr>
          <w:p w:rsidR="00F318F9" w:rsidRPr="00AC36D3" w:rsidRDefault="006B0ABE" w:rsidP="000912BE">
            <w:pPr>
              <w:pStyle w:val="Odstavecseseznamem"/>
              <w:ind w:left="0"/>
              <w:jc w:val="both"/>
              <w:rPr>
                <w:i/>
              </w:rPr>
            </w:pPr>
            <w:r w:rsidRPr="00AC36D3">
              <w:rPr>
                <w:i/>
              </w:rPr>
              <w:t xml:space="preserve">Zadavatel si s ohledem na povahu plnění vyhradil, že záruční doba v délce 24 měsíců od akceptace díla jako celku se prodlužuje po každém rozšíření díla či úpravě vlastností systému realizovaném na základě dodatečných rozvojových služeb tak, že bude trvat až do uplynutí 24 měsíců ode dne akceptace takového rozšíření či úpravy provedené v rámci dodatečných rozvojových služeb. Takto prodloužená záruka však nebude trvat déle, než 6 měsíců po uplynutí 24 měsíců od akceptace díla jako celku. Maximální záruční lhůta je tak rovna 30 měsícům od akceptace díla jako celku, resp. 24 měsícům od rozšíření či úpravy díla. </w:t>
            </w:r>
          </w:p>
          <w:p w:rsidR="006B0ABE" w:rsidRPr="00AC36D3" w:rsidRDefault="006B0ABE" w:rsidP="000912BE">
            <w:pPr>
              <w:pStyle w:val="Odstavecseseznamem"/>
              <w:ind w:left="0"/>
              <w:jc w:val="both"/>
              <w:rPr>
                <w:i/>
              </w:rPr>
            </w:pPr>
            <w:r w:rsidRPr="00AC36D3">
              <w:rPr>
                <w:i/>
              </w:rPr>
              <w:t>S ohledem na nutnost zajištění zachování kvality poskytnutého plnění i po jeho</w:t>
            </w:r>
            <w:r w:rsidR="008B212A" w:rsidRPr="00AC36D3">
              <w:rPr>
                <w:i/>
              </w:rPr>
              <w:t xml:space="preserve"> vytvoření</w:t>
            </w:r>
            <w:r w:rsidRPr="00AC36D3">
              <w:rPr>
                <w:i/>
              </w:rPr>
              <w:t xml:space="preserve"> a skutečnost, že záruka nepřekročí 24 měsíců od rozšíření či úpravy díla</w:t>
            </w:r>
            <w:r w:rsidR="00015A51" w:rsidRPr="00AC36D3">
              <w:rPr>
                <w:i/>
              </w:rPr>
              <w:t>,</w:t>
            </w:r>
            <w:r w:rsidRPr="00AC36D3">
              <w:rPr>
                <w:i/>
              </w:rPr>
              <w:t xml:space="preserve"> považuje zadavatel tento požadavek za přiměřený. </w:t>
            </w:r>
          </w:p>
        </w:tc>
      </w:tr>
      <w:tr w:rsidR="00F318F9" w:rsidRPr="005D5EDB" w:rsidTr="003D1A19">
        <w:tc>
          <w:tcPr>
            <w:tcW w:w="3794" w:type="dxa"/>
          </w:tcPr>
          <w:p w:rsidR="00F318F9" w:rsidRPr="003A4406" w:rsidRDefault="00F318F9" w:rsidP="00CD4181">
            <w:pPr>
              <w:pStyle w:val="Odstavecseseznamem"/>
              <w:spacing w:before="60" w:after="60"/>
              <w:ind w:left="0"/>
              <w:jc w:val="both"/>
            </w:pPr>
            <w:r w:rsidRPr="003A4406">
              <w:t>Odůvodnění vymezení obchodní podmínky stanovící smluvní pokutu za prodlení dodavatele vyšší než 0,2 % z předpokládané hodnoty veřejné zakázky za každý den prodlení.</w:t>
            </w:r>
          </w:p>
        </w:tc>
        <w:tc>
          <w:tcPr>
            <w:tcW w:w="5528" w:type="dxa"/>
          </w:tcPr>
          <w:p w:rsidR="00F318F9" w:rsidRPr="00AC36D3" w:rsidRDefault="00FF6FFF" w:rsidP="000912BE">
            <w:pPr>
              <w:pStyle w:val="Odstavecseseznamem"/>
              <w:ind w:left="0"/>
              <w:jc w:val="both"/>
              <w:rPr>
                <w:i/>
              </w:rPr>
            </w:pPr>
            <w:r w:rsidRPr="00AC36D3">
              <w:rPr>
                <w:i/>
              </w:rPr>
              <w:t>Zadavatel nepožaduje smluvní pokutu za prodlení dodavatele vyšší než 0,2 % z předpokládané hodnoty veřejné zakázky za každý den prodlení</w:t>
            </w:r>
            <w:r w:rsidR="00E83974" w:rsidRPr="00AC36D3">
              <w:rPr>
                <w:i/>
              </w:rPr>
              <w:t>, tento požadavek zadavatel proto neodůvodňuje</w:t>
            </w:r>
            <w:r w:rsidRPr="00AC36D3">
              <w:rPr>
                <w:i/>
              </w:rPr>
              <w:t>.</w:t>
            </w:r>
          </w:p>
        </w:tc>
      </w:tr>
      <w:tr w:rsidR="00F318F9" w:rsidRPr="00CD4181" w:rsidTr="003D1A19">
        <w:tc>
          <w:tcPr>
            <w:tcW w:w="3794" w:type="dxa"/>
          </w:tcPr>
          <w:p w:rsidR="00F318F9" w:rsidRPr="00CD4181" w:rsidRDefault="00F318F9" w:rsidP="00CD4181">
            <w:pPr>
              <w:pStyle w:val="Odstavecseseznamem"/>
              <w:spacing w:before="60" w:after="60"/>
              <w:ind w:left="0"/>
              <w:jc w:val="both"/>
            </w:pPr>
            <w:r w:rsidRPr="00CD4181">
              <w:t>Odůvodnění vymezení obchodní podmínky stanovící smluvní pokutu za prodlení zadavatele s úhradou faktur vyšší než 0,05 % z dlužné částky za každý den prodlení.</w:t>
            </w:r>
          </w:p>
        </w:tc>
        <w:tc>
          <w:tcPr>
            <w:tcW w:w="5528" w:type="dxa"/>
          </w:tcPr>
          <w:p w:rsidR="00F318F9" w:rsidRPr="00AC36D3" w:rsidRDefault="00447E21" w:rsidP="000912BE">
            <w:pPr>
              <w:pStyle w:val="Odstavecseseznamem"/>
              <w:ind w:left="0"/>
              <w:jc w:val="both"/>
              <w:rPr>
                <w:i/>
              </w:rPr>
            </w:pPr>
            <w:r w:rsidRPr="00AC36D3">
              <w:rPr>
                <w:i/>
              </w:rPr>
              <w:t>Zadavatel nestanoví smluvní pokutu za prodlení zadavatele s úhradou faktur vyšší než 0,05 % z dlužné částky za každý den prodlení</w:t>
            </w:r>
            <w:r w:rsidR="00E83974" w:rsidRPr="00AC36D3">
              <w:rPr>
                <w:i/>
              </w:rPr>
              <w:t>, tento požadavek zadavatel proto neodůvodňuje</w:t>
            </w:r>
            <w:r w:rsidR="00524641" w:rsidRPr="00AC36D3">
              <w:rPr>
                <w:i/>
              </w:rPr>
              <w:t>.</w:t>
            </w:r>
          </w:p>
        </w:tc>
      </w:tr>
      <w:tr w:rsidR="00F318F9" w:rsidRPr="005D5EDB" w:rsidTr="003D1A19">
        <w:tc>
          <w:tcPr>
            <w:tcW w:w="3794" w:type="dxa"/>
          </w:tcPr>
          <w:p w:rsidR="00F318F9" w:rsidRPr="00CD4181" w:rsidRDefault="00F318F9" w:rsidP="00CD4181">
            <w:pPr>
              <w:pStyle w:val="Odstavecseseznamem"/>
              <w:spacing w:before="60" w:after="60"/>
              <w:ind w:left="0"/>
              <w:jc w:val="both"/>
            </w:pPr>
            <w:r w:rsidRPr="00CD4181">
              <w:t>Odůvodnění vymezení dalších obchodních podmínek, pokud v zadávací dokumentaci budou vymezeny i jiné obchodní podmínky než jsou výše uvedeny.</w:t>
            </w:r>
          </w:p>
        </w:tc>
        <w:tc>
          <w:tcPr>
            <w:tcW w:w="5528" w:type="dxa"/>
          </w:tcPr>
          <w:p w:rsidR="00F318F9" w:rsidRPr="00AC36D3" w:rsidRDefault="00B74A86" w:rsidP="000912BE">
            <w:pPr>
              <w:pStyle w:val="Odstavecseseznamem"/>
              <w:ind w:left="0"/>
              <w:jc w:val="both"/>
              <w:rPr>
                <w:i/>
              </w:rPr>
            </w:pPr>
            <w:r w:rsidRPr="00AC36D3">
              <w:rPr>
                <w:i/>
              </w:rPr>
              <w:t xml:space="preserve">Zadavatel má za to, že ostatní obchodní podmínky jím stanovené jsou zcela odpovídající současné obchodní praxi a umožňují zajistit splnění potřeb zadavatele a minimalizovat rizika související s plněním veřejné zakázky. </w:t>
            </w:r>
          </w:p>
        </w:tc>
      </w:tr>
    </w:tbl>
    <w:p w:rsidR="00A17927" w:rsidRPr="00CD4181" w:rsidRDefault="00A17927" w:rsidP="002D2125">
      <w:pPr>
        <w:spacing w:after="120"/>
        <w:ind w:left="360" w:right="22"/>
        <w:jc w:val="both"/>
        <w:rPr>
          <w:rFonts w:eastAsia="MS Mincho"/>
          <w:b/>
          <w:bCs/>
        </w:rPr>
      </w:pPr>
    </w:p>
    <w:p w:rsidR="00A17927" w:rsidRPr="00CD4181" w:rsidRDefault="00A17927" w:rsidP="002D2125">
      <w:pPr>
        <w:spacing w:after="120"/>
        <w:ind w:left="360" w:right="22"/>
        <w:jc w:val="both"/>
        <w:rPr>
          <w:rFonts w:eastAsia="MS Mincho"/>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2D2125" w:rsidRPr="00CD4181" w:rsidTr="005E1C5A">
        <w:tc>
          <w:tcPr>
            <w:tcW w:w="9212" w:type="dxa"/>
            <w:gridSpan w:val="2"/>
          </w:tcPr>
          <w:p w:rsidR="002D2125" w:rsidRPr="00CD4181" w:rsidRDefault="002D2125" w:rsidP="00A55460">
            <w:pPr>
              <w:jc w:val="center"/>
              <w:rPr>
                <w:color w:val="FF0000"/>
              </w:rPr>
            </w:pPr>
            <w:r w:rsidRPr="00CD4181">
              <w:rPr>
                <w:b/>
              </w:rPr>
              <w:t xml:space="preserve">Odůvodnění vymezení </w:t>
            </w:r>
            <w:r w:rsidRPr="00CD4181">
              <w:rPr>
                <w:b/>
                <w:u w:val="single"/>
              </w:rPr>
              <w:t>technických</w:t>
            </w:r>
            <w:r w:rsidRPr="00CD4181">
              <w:rPr>
                <w:b/>
              </w:rPr>
              <w:t xml:space="preserve"> podmínek veřejné zakázky ve vztahu k potřebám zadavatele</w:t>
            </w:r>
          </w:p>
        </w:tc>
      </w:tr>
      <w:tr w:rsidR="002D2125" w:rsidRPr="00CD4181" w:rsidTr="005E1C5A">
        <w:tc>
          <w:tcPr>
            <w:tcW w:w="3369" w:type="dxa"/>
          </w:tcPr>
          <w:p w:rsidR="002D2125" w:rsidRPr="00CD4181" w:rsidRDefault="002D2125" w:rsidP="005E1C5A">
            <w:pPr>
              <w:jc w:val="center"/>
              <w:rPr>
                <w:b/>
              </w:rPr>
            </w:pPr>
            <w:r w:rsidRPr="00CD4181">
              <w:rPr>
                <w:b/>
              </w:rPr>
              <w:t>Technická podmínka</w:t>
            </w:r>
          </w:p>
        </w:tc>
        <w:tc>
          <w:tcPr>
            <w:tcW w:w="5843" w:type="dxa"/>
          </w:tcPr>
          <w:p w:rsidR="002D2125" w:rsidRPr="00CD4181" w:rsidRDefault="002D2125" w:rsidP="005E1C5A">
            <w:pPr>
              <w:jc w:val="center"/>
              <w:rPr>
                <w:b/>
              </w:rPr>
            </w:pPr>
            <w:r w:rsidRPr="00CD4181">
              <w:rPr>
                <w:b/>
              </w:rPr>
              <w:t>Odůvodnění technické podmínky</w:t>
            </w:r>
          </w:p>
        </w:tc>
      </w:tr>
      <w:tr w:rsidR="002D2125" w:rsidRPr="00CD4181" w:rsidTr="00370A83">
        <w:trPr>
          <w:trHeight w:val="1405"/>
        </w:trPr>
        <w:tc>
          <w:tcPr>
            <w:tcW w:w="3369" w:type="dxa"/>
          </w:tcPr>
          <w:p w:rsidR="002D2125" w:rsidRPr="00AC36D3" w:rsidRDefault="002D2125" w:rsidP="00370A83">
            <w:pPr>
              <w:pStyle w:val="Odstavecseseznamem"/>
              <w:spacing w:before="60" w:after="60"/>
              <w:ind w:left="0"/>
            </w:pPr>
          </w:p>
        </w:tc>
        <w:tc>
          <w:tcPr>
            <w:tcW w:w="5843" w:type="dxa"/>
          </w:tcPr>
          <w:p w:rsidR="00B041B7" w:rsidRPr="00A96D91" w:rsidRDefault="00D65E08" w:rsidP="000912BE">
            <w:pPr>
              <w:spacing w:line="100" w:lineRule="atLeast"/>
              <w:jc w:val="both"/>
              <w:rPr>
                <w:i/>
              </w:rPr>
            </w:pPr>
            <w:r w:rsidRPr="00AC36D3">
              <w:rPr>
                <w:i/>
              </w:rPr>
              <w:t xml:space="preserve">Zadavatel </w:t>
            </w:r>
            <w:r w:rsidR="00B041B7" w:rsidRPr="00A96D91">
              <w:rPr>
                <w:i/>
              </w:rPr>
              <w:t>vymezil v zadávací dokumentaci pouze takové</w:t>
            </w:r>
            <w:r w:rsidR="00B041B7" w:rsidRPr="00AC36D3">
              <w:rPr>
                <w:i/>
              </w:rPr>
              <w:t xml:space="preserve"> technické podmínky</w:t>
            </w:r>
            <w:r w:rsidR="00B041B7" w:rsidRPr="00A96D91">
              <w:rPr>
                <w:i/>
              </w:rPr>
              <w:t xml:space="preserve">, které jsou standardní a nepřekračují rozsah uvedený v § 45 a § 46 zákona. </w:t>
            </w:r>
          </w:p>
          <w:p w:rsidR="002D2125" w:rsidRPr="00AC36D3" w:rsidRDefault="00B041B7" w:rsidP="000912BE">
            <w:pPr>
              <w:pStyle w:val="Odstavecseseznamem"/>
              <w:spacing w:before="60" w:after="60"/>
              <w:ind w:left="0"/>
              <w:jc w:val="both"/>
            </w:pPr>
            <w:r w:rsidRPr="00A96D91">
              <w:rPr>
                <w:i/>
              </w:rPr>
              <w:t>Stanovené</w:t>
            </w:r>
            <w:r w:rsidRPr="00AC36D3">
              <w:rPr>
                <w:i/>
              </w:rPr>
              <w:t xml:space="preserve"> technické podmínky</w:t>
            </w:r>
            <w:r w:rsidRPr="00A96D91">
              <w:rPr>
                <w:i/>
              </w:rPr>
              <w:t xml:space="preserve"> jsou dle názoru zadavatele optimálním řešením identifikovaných potřeb zadavatele. Tyto požadavky byly stanoveny ve vztahu k potřebám zadavatele a k rizikům souvisejícím s plněním veřejné zakázky.</w:t>
            </w:r>
          </w:p>
        </w:tc>
      </w:tr>
    </w:tbl>
    <w:p w:rsidR="002D2125" w:rsidRPr="00CD4181" w:rsidRDefault="002D2125" w:rsidP="002D2125">
      <w:pPr>
        <w:spacing w:after="120"/>
        <w:ind w:left="360" w:right="22"/>
        <w:jc w:val="both"/>
        <w:rPr>
          <w:rFonts w:eastAsia="MS Mincho"/>
          <w:b/>
          <w:bCs/>
        </w:rPr>
      </w:pPr>
    </w:p>
    <w:p w:rsidR="002D2125" w:rsidRPr="00370A83" w:rsidRDefault="002D2125" w:rsidP="00602C6F">
      <w:pPr>
        <w:spacing w:after="120"/>
        <w:ind w:right="22"/>
        <w:jc w:val="both"/>
        <w:rPr>
          <w:rFonts w:eastAsia="MS Mincho"/>
          <w:b/>
          <w:bCs/>
        </w:rPr>
      </w:pPr>
      <w:bookmarkStart w:id="0" w:name="_GoBack"/>
      <w:bookmarkEnd w:id="0"/>
      <w:r w:rsidRPr="00CD4181">
        <w:t xml:space="preserve">Odůvodnění </w:t>
      </w:r>
      <w:r w:rsidRPr="00CD4181">
        <w:rPr>
          <w:b/>
        </w:rPr>
        <w:t xml:space="preserve">stanovení základních a dílčích hodnotících kritérií a způsobu hodnocení </w:t>
      </w:r>
      <w:r w:rsidRPr="00370A83">
        <w:rPr>
          <w:b/>
        </w:rPr>
        <w:t>nabídek</w:t>
      </w:r>
      <w:r w:rsidRPr="00370A83">
        <w:t xml:space="preserve"> ve vztahu k potřebám zadavatele:</w:t>
      </w:r>
    </w:p>
    <w:p w:rsidR="00C33E5E" w:rsidRPr="00370A83" w:rsidRDefault="00C33E5E" w:rsidP="00370A83">
      <w:pPr>
        <w:pStyle w:val="Prosttext"/>
        <w:spacing w:after="120"/>
        <w:ind w:left="426"/>
        <w:jc w:val="both"/>
        <w:rPr>
          <w:rFonts w:ascii="Times New Roman" w:eastAsia="MS Mincho" w:hAnsi="Times New Roman" w:cs="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2D2125" w:rsidRPr="005D5EDB" w:rsidTr="005E1C5A">
        <w:tc>
          <w:tcPr>
            <w:tcW w:w="9212" w:type="dxa"/>
            <w:gridSpan w:val="2"/>
          </w:tcPr>
          <w:p w:rsidR="002D2125" w:rsidRPr="00370A83" w:rsidRDefault="002D2125" w:rsidP="005E1C5A">
            <w:pPr>
              <w:jc w:val="center"/>
              <w:rPr>
                <w:b/>
              </w:rPr>
            </w:pPr>
            <w:r w:rsidRPr="00370A83">
              <w:rPr>
                <w:b/>
              </w:rPr>
              <w:t>Odůvodnění stanovení základních a dílčích hodnotících kritérií ve vztahu k potřebám veřejného zadavatele</w:t>
            </w:r>
          </w:p>
        </w:tc>
      </w:tr>
      <w:tr w:rsidR="002D2125" w:rsidRPr="005D5EDB" w:rsidTr="005E1C5A">
        <w:tc>
          <w:tcPr>
            <w:tcW w:w="3369" w:type="dxa"/>
          </w:tcPr>
          <w:p w:rsidR="002D2125" w:rsidRPr="00370A83" w:rsidRDefault="002D2125" w:rsidP="005E1C5A">
            <w:pPr>
              <w:jc w:val="center"/>
              <w:rPr>
                <w:b/>
              </w:rPr>
            </w:pPr>
            <w:r w:rsidRPr="00FC6B5D">
              <w:rPr>
                <w:b/>
              </w:rPr>
              <w:t xml:space="preserve">Hodnotící kritérium </w:t>
            </w:r>
          </w:p>
        </w:tc>
        <w:tc>
          <w:tcPr>
            <w:tcW w:w="5843" w:type="dxa"/>
          </w:tcPr>
          <w:p w:rsidR="002D2125" w:rsidRPr="00370A83" w:rsidRDefault="002D2125" w:rsidP="005E1C5A">
            <w:pPr>
              <w:jc w:val="center"/>
              <w:rPr>
                <w:b/>
              </w:rPr>
            </w:pPr>
            <w:r w:rsidRPr="00370A83">
              <w:rPr>
                <w:b/>
              </w:rPr>
              <w:t xml:space="preserve">Odůvodnění </w:t>
            </w:r>
          </w:p>
        </w:tc>
      </w:tr>
      <w:tr w:rsidR="002D2125" w:rsidRPr="005D5EDB" w:rsidTr="005E1C5A">
        <w:tc>
          <w:tcPr>
            <w:tcW w:w="3369" w:type="dxa"/>
          </w:tcPr>
          <w:p w:rsidR="002D2125" w:rsidRPr="00AB2FC2" w:rsidRDefault="007C1749" w:rsidP="005E1C5A">
            <w:pPr>
              <w:pStyle w:val="Odstavecseseznamem"/>
              <w:ind w:left="0"/>
            </w:pPr>
            <w:r w:rsidRPr="00AB2FC2">
              <w:t>Ekonomická výhodnost nabídky</w:t>
            </w:r>
          </w:p>
        </w:tc>
        <w:tc>
          <w:tcPr>
            <w:tcW w:w="5843" w:type="dxa"/>
          </w:tcPr>
          <w:p w:rsidR="008B04FD" w:rsidRPr="00234878" w:rsidRDefault="00600394" w:rsidP="000912BE">
            <w:pPr>
              <w:pStyle w:val="Odstavecseseznamem"/>
              <w:ind w:left="0"/>
              <w:jc w:val="both"/>
              <w:rPr>
                <w:i/>
              </w:rPr>
            </w:pPr>
            <w:r w:rsidRPr="00AC36D3">
              <w:rPr>
                <w:i/>
              </w:rPr>
              <w:t xml:space="preserve">Zadavatel zvolil jako základní hodnotící kritérium ekonomickou výhodnost nabídky ve smyslu § 78 odst. 1) písm. a) zákona č. 137/2006 Sb., o veřejných zakázkách, ve znění pozdějších předpisů, a to s ohledem na předmět veřejné zakázky a skutečnost, že plnění nabízené </w:t>
            </w:r>
            <w:r w:rsidRPr="00234878">
              <w:rPr>
                <w:i/>
              </w:rPr>
              <w:t>jednotlivými dodavateli a jeho kvalita mohou být značně rozdíln</w:t>
            </w:r>
            <w:r w:rsidR="00A55460" w:rsidRPr="00234878">
              <w:rPr>
                <w:i/>
              </w:rPr>
              <w:t>é.</w:t>
            </w:r>
            <w:r w:rsidRPr="00234878">
              <w:rPr>
                <w:i/>
              </w:rPr>
              <w:t xml:space="preserve"> </w:t>
            </w:r>
            <w:r w:rsidR="00A55460" w:rsidRPr="00234878">
              <w:rPr>
                <w:i/>
              </w:rPr>
              <w:t xml:space="preserve">Klíčová je zejména vypovídací hodnota nabídkové ceny ve vztahu k očekávaným vlastnostem plnění veřejné zakázky, tj. </w:t>
            </w:r>
            <w:r w:rsidR="00A55460" w:rsidRPr="00234878">
              <w:rPr>
                <w:b/>
                <w:bCs/>
                <w:i/>
              </w:rPr>
              <w:t>vztah užitné hodnoty a ceny nabízeného řešení</w:t>
            </w:r>
            <w:r w:rsidR="00A55460" w:rsidRPr="00234878">
              <w:rPr>
                <w:i/>
              </w:rPr>
              <w:t>.“</w:t>
            </w:r>
            <w:r w:rsidRPr="00234878">
              <w:rPr>
                <w:i/>
              </w:rPr>
              <w:t xml:space="preserve">.   </w:t>
            </w:r>
          </w:p>
          <w:p w:rsidR="002D2125" w:rsidRPr="00AC36D3" w:rsidRDefault="00B45FBE" w:rsidP="000912BE">
            <w:pPr>
              <w:pStyle w:val="Odstavecseseznamem"/>
              <w:ind w:left="0"/>
              <w:jc w:val="both"/>
            </w:pPr>
            <w:r w:rsidRPr="00AC36D3">
              <w:rPr>
                <w:i/>
              </w:rPr>
              <w:t xml:space="preserve">Váha dílčího hodnotícího kritéria nabídkové ceny není nižší než </w:t>
            </w:r>
            <w:r w:rsidR="00E6767B" w:rsidRPr="00AC36D3">
              <w:rPr>
                <w:i/>
              </w:rPr>
              <w:t>6</w:t>
            </w:r>
            <w:r w:rsidRPr="00AC36D3">
              <w:rPr>
                <w:i/>
              </w:rPr>
              <w:t xml:space="preserve">0 %. </w:t>
            </w:r>
          </w:p>
        </w:tc>
      </w:tr>
    </w:tbl>
    <w:p w:rsidR="002D2125" w:rsidRPr="00370A83" w:rsidRDefault="002D2125" w:rsidP="002D2125">
      <w:pPr>
        <w:spacing w:after="120"/>
        <w:ind w:left="360" w:right="22"/>
        <w:jc w:val="both"/>
        <w:rPr>
          <w:rFonts w:eastAsia="MS Mincho"/>
          <w:b/>
          <w:bCs/>
        </w:rPr>
      </w:pPr>
    </w:p>
    <w:p w:rsidR="002D2125" w:rsidRPr="00370A83" w:rsidRDefault="002D2125" w:rsidP="002D2125">
      <w:pPr>
        <w:spacing w:after="1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9"/>
        <w:gridCol w:w="5843"/>
      </w:tblGrid>
      <w:tr w:rsidR="009C35E5" w:rsidRPr="005D5EDB" w:rsidTr="00356CCE">
        <w:tc>
          <w:tcPr>
            <w:tcW w:w="9212" w:type="dxa"/>
            <w:gridSpan w:val="2"/>
          </w:tcPr>
          <w:p w:rsidR="009C35E5" w:rsidRPr="00370A83" w:rsidRDefault="009C35E5" w:rsidP="00287A3C">
            <w:pPr>
              <w:jc w:val="center"/>
              <w:rPr>
                <w:b/>
              </w:rPr>
            </w:pPr>
            <w:r w:rsidRPr="00370A83">
              <w:rPr>
                <w:b/>
              </w:rPr>
              <w:t>Odůvodnění předpokládané hodnoty veřejné zakázky</w:t>
            </w:r>
          </w:p>
        </w:tc>
      </w:tr>
      <w:tr w:rsidR="009C35E5" w:rsidRPr="005D5EDB" w:rsidTr="00356CCE">
        <w:tc>
          <w:tcPr>
            <w:tcW w:w="3369" w:type="dxa"/>
          </w:tcPr>
          <w:p w:rsidR="009C35E5" w:rsidRPr="00370A83" w:rsidRDefault="009C35E5" w:rsidP="00356CCE">
            <w:pPr>
              <w:jc w:val="center"/>
              <w:rPr>
                <w:b/>
              </w:rPr>
            </w:pPr>
            <w:r w:rsidRPr="00AB1A3F">
              <w:rPr>
                <w:b/>
              </w:rPr>
              <w:t xml:space="preserve">Hodnota </w:t>
            </w:r>
          </w:p>
        </w:tc>
        <w:tc>
          <w:tcPr>
            <w:tcW w:w="5843" w:type="dxa"/>
          </w:tcPr>
          <w:p w:rsidR="009C35E5" w:rsidRPr="00370A83" w:rsidRDefault="009C35E5" w:rsidP="00356CCE">
            <w:pPr>
              <w:jc w:val="center"/>
              <w:rPr>
                <w:b/>
              </w:rPr>
            </w:pPr>
            <w:r w:rsidRPr="00370A83">
              <w:rPr>
                <w:b/>
              </w:rPr>
              <w:t xml:space="preserve">Odůvodnění </w:t>
            </w:r>
          </w:p>
        </w:tc>
      </w:tr>
      <w:tr w:rsidR="009C35E5" w:rsidRPr="005D5EDB" w:rsidTr="00AB1A3F">
        <w:tc>
          <w:tcPr>
            <w:tcW w:w="3369" w:type="dxa"/>
          </w:tcPr>
          <w:p w:rsidR="009C35E5" w:rsidRPr="00AB1A3F" w:rsidRDefault="009C35E5" w:rsidP="00AB1A3F">
            <w:pPr>
              <w:pStyle w:val="Odstavecseseznamem"/>
              <w:spacing w:before="60" w:after="60"/>
              <w:ind w:left="0"/>
              <w:jc w:val="both"/>
              <w:rPr>
                <w:color w:val="FF0000"/>
              </w:rPr>
            </w:pPr>
          </w:p>
        </w:tc>
        <w:tc>
          <w:tcPr>
            <w:tcW w:w="5843" w:type="dxa"/>
          </w:tcPr>
          <w:p w:rsidR="009C35E5" w:rsidRPr="00AC36D3" w:rsidRDefault="00C41588" w:rsidP="00AB1A3F">
            <w:pPr>
              <w:pStyle w:val="Odstavecseseznamem"/>
              <w:spacing w:before="60" w:after="60"/>
              <w:ind w:left="0"/>
              <w:jc w:val="both"/>
              <w:rPr>
                <w:i/>
              </w:rPr>
            </w:pPr>
            <w:r w:rsidRPr="00AC36D3">
              <w:rPr>
                <w:i/>
              </w:rPr>
              <w:t xml:space="preserve">Nejedná se o významnou veřejnou zakázku. </w:t>
            </w:r>
          </w:p>
          <w:p w:rsidR="009C35E5" w:rsidRPr="00AB1A3F" w:rsidRDefault="009C35E5" w:rsidP="00AB1A3F">
            <w:pPr>
              <w:pStyle w:val="Odstavecseseznamem"/>
              <w:spacing w:before="60" w:after="60"/>
              <w:ind w:left="0"/>
              <w:jc w:val="both"/>
              <w:rPr>
                <w:color w:val="FF0000"/>
              </w:rPr>
            </w:pPr>
          </w:p>
          <w:p w:rsidR="009C35E5" w:rsidRPr="00AB1A3F" w:rsidRDefault="009C35E5" w:rsidP="00AB1A3F">
            <w:pPr>
              <w:pStyle w:val="Odstavecseseznamem"/>
              <w:spacing w:before="60" w:after="60"/>
              <w:ind w:left="0"/>
              <w:jc w:val="both"/>
              <w:rPr>
                <w:color w:val="FF0000"/>
              </w:rPr>
            </w:pPr>
          </w:p>
        </w:tc>
      </w:tr>
    </w:tbl>
    <w:p w:rsidR="002D2125" w:rsidRPr="00B20D14" w:rsidRDefault="002D2125" w:rsidP="003953DC">
      <w:pPr>
        <w:tabs>
          <w:tab w:val="left" w:pos="2880"/>
        </w:tabs>
      </w:pPr>
    </w:p>
    <w:sectPr w:rsidR="002D2125" w:rsidRPr="00B20D14" w:rsidSect="00640EA1">
      <w:headerReference w:type="default" r:id="rId9"/>
      <w:footerReference w:type="default" r:id="rId10"/>
      <w:headerReference w:type="first" r:id="rId11"/>
      <w:foot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C32" w:rsidRDefault="00664C32">
      <w:r>
        <w:separator/>
      </w:r>
    </w:p>
  </w:endnote>
  <w:endnote w:type="continuationSeparator" w:id="0">
    <w:p w:rsidR="00664C32" w:rsidRDefault="00664C32">
      <w:r>
        <w:continuationSeparator/>
      </w:r>
    </w:p>
  </w:endnote>
  <w:endnote w:type="continuationNotice" w:id="1">
    <w:p w:rsidR="00664C32" w:rsidRDefault="00664C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420" w:rsidRDefault="005B4420">
    <w:pPr>
      <w:pStyle w:val="Zpat"/>
      <w:jc w:val="center"/>
      <w:rPr>
        <w:sz w:val="20"/>
        <w:szCs w:val="20"/>
      </w:rPr>
    </w:pPr>
    <w:r>
      <w:rPr>
        <w:sz w:val="20"/>
        <w:szCs w:val="20"/>
      </w:rPr>
      <w:t xml:space="preserve">Strana </w:t>
    </w:r>
    <w:r>
      <w:rPr>
        <w:sz w:val="20"/>
        <w:szCs w:val="20"/>
      </w:rPr>
      <w:fldChar w:fldCharType="begin"/>
    </w:r>
    <w:r>
      <w:rPr>
        <w:sz w:val="20"/>
        <w:szCs w:val="20"/>
      </w:rPr>
      <w:instrText xml:space="preserve"> PAGE </w:instrText>
    </w:r>
    <w:r>
      <w:rPr>
        <w:sz w:val="20"/>
        <w:szCs w:val="20"/>
      </w:rPr>
      <w:fldChar w:fldCharType="separate"/>
    </w:r>
    <w:r w:rsidR="00473160">
      <w:rPr>
        <w:noProof/>
        <w:sz w:val="20"/>
        <w:szCs w:val="20"/>
      </w:rPr>
      <w:t>10</w:t>
    </w:r>
    <w:r>
      <w:rPr>
        <w:sz w:val="20"/>
        <w:szCs w:val="20"/>
      </w:rPr>
      <w:fldChar w:fldCharType="end"/>
    </w:r>
    <w:r>
      <w:rPr>
        <w:sz w:val="20"/>
        <w:szCs w:val="20"/>
      </w:rPr>
      <w:t xml:space="preserve"> (celkem </w:t>
    </w:r>
    <w:r>
      <w:rPr>
        <w:sz w:val="20"/>
        <w:szCs w:val="20"/>
      </w:rPr>
      <w:fldChar w:fldCharType="begin"/>
    </w:r>
    <w:r>
      <w:rPr>
        <w:sz w:val="20"/>
        <w:szCs w:val="20"/>
      </w:rPr>
      <w:instrText xml:space="preserve"> NUMPAGES </w:instrText>
    </w:r>
    <w:r>
      <w:rPr>
        <w:sz w:val="20"/>
        <w:szCs w:val="20"/>
      </w:rPr>
      <w:fldChar w:fldCharType="separate"/>
    </w:r>
    <w:r w:rsidR="00473160">
      <w:rPr>
        <w:noProof/>
        <w:sz w:val="20"/>
        <w:szCs w:val="20"/>
      </w:rPr>
      <w:t>10</w:t>
    </w:r>
    <w:r>
      <w:rPr>
        <w:sz w:val="20"/>
        <w:szCs w:val="20"/>
      </w:rPr>
      <w:fldChar w:fldCharType="end"/>
    </w:r>
    <w:r>
      <w:rPr>
        <w:sz w:val="20"/>
        <w:szCs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420" w:rsidRDefault="005B4420">
    <w:pPr>
      <w:pStyle w:val="Zpat"/>
      <w:jc w:val="center"/>
      <w:rPr>
        <w:sz w:val="20"/>
        <w:szCs w:val="20"/>
      </w:rPr>
    </w:pPr>
    <w:r>
      <w:rPr>
        <w:sz w:val="20"/>
        <w:szCs w:val="20"/>
      </w:rPr>
      <w:t xml:space="preserve">Strana </w:t>
    </w:r>
    <w:r>
      <w:rPr>
        <w:sz w:val="20"/>
        <w:szCs w:val="20"/>
      </w:rPr>
      <w:fldChar w:fldCharType="begin"/>
    </w:r>
    <w:r>
      <w:rPr>
        <w:sz w:val="20"/>
        <w:szCs w:val="20"/>
      </w:rPr>
      <w:instrText xml:space="preserve"> PAGE </w:instrText>
    </w:r>
    <w:r>
      <w:rPr>
        <w:sz w:val="20"/>
        <w:szCs w:val="20"/>
      </w:rPr>
      <w:fldChar w:fldCharType="separate"/>
    </w:r>
    <w:r w:rsidR="00473160">
      <w:rPr>
        <w:noProof/>
        <w:sz w:val="20"/>
        <w:szCs w:val="20"/>
      </w:rPr>
      <w:t>1</w:t>
    </w:r>
    <w:r>
      <w:rPr>
        <w:sz w:val="20"/>
        <w:szCs w:val="20"/>
      </w:rPr>
      <w:fldChar w:fldCharType="end"/>
    </w:r>
    <w:r>
      <w:rPr>
        <w:sz w:val="20"/>
        <w:szCs w:val="20"/>
      </w:rPr>
      <w:t xml:space="preserve"> (celkem </w:t>
    </w:r>
    <w:r>
      <w:rPr>
        <w:sz w:val="20"/>
        <w:szCs w:val="20"/>
      </w:rPr>
      <w:fldChar w:fldCharType="begin"/>
    </w:r>
    <w:r>
      <w:rPr>
        <w:sz w:val="20"/>
        <w:szCs w:val="20"/>
      </w:rPr>
      <w:instrText xml:space="preserve"> NUMPAGES </w:instrText>
    </w:r>
    <w:r>
      <w:rPr>
        <w:sz w:val="20"/>
        <w:szCs w:val="20"/>
      </w:rPr>
      <w:fldChar w:fldCharType="separate"/>
    </w:r>
    <w:r w:rsidR="00473160">
      <w:rPr>
        <w:noProof/>
        <w:sz w:val="20"/>
        <w:szCs w:val="20"/>
      </w:rPr>
      <w:t>10</w:t>
    </w:r>
    <w:r>
      <w:rPr>
        <w:sz w:val="20"/>
        <w:szCs w:val="20"/>
      </w:rPr>
      <w:fldChar w:fldCharType="end"/>
    </w:r>
    <w:r>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C32" w:rsidRDefault="00664C32">
      <w:r>
        <w:separator/>
      </w:r>
    </w:p>
  </w:footnote>
  <w:footnote w:type="continuationSeparator" w:id="0">
    <w:p w:rsidR="00664C32" w:rsidRDefault="00664C32">
      <w:r>
        <w:continuationSeparator/>
      </w:r>
    </w:p>
  </w:footnote>
  <w:footnote w:type="continuationNotice" w:id="1">
    <w:p w:rsidR="00664C32" w:rsidRDefault="00664C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420" w:rsidRPr="009F3A1F" w:rsidRDefault="009F3A1F" w:rsidP="009F3A1F">
    <w:pPr>
      <w:pStyle w:val="Nzev"/>
      <w:spacing w:after="120"/>
      <w:jc w:val="right"/>
      <w:rPr>
        <w:u w:val="none"/>
      </w:rPr>
    </w:pPr>
    <w:r>
      <w:rPr>
        <w:u w:val="none"/>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4420" w:rsidRPr="00783ADA" w:rsidRDefault="005B4420" w:rsidP="00783ADA">
    <w:pPr>
      <w:pStyle w:val="Zhlav"/>
      <w:jc w:val="right"/>
      <w:rPr>
        <w:rFonts w:ascii="Arial" w:hAnsi="Arial"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8A970F3"/>
    <w:multiLevelType w:val="hybridMultilevel"/>
    <w:tmpl w:val="2C6476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9E323E"/>
    <w:multiLevelType w:val="multilevel"/>
    <w:tmpl w:val="38A22D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01700B1"/>
    <w:multiLevelType w:val="hybridMultilevel"/>
    <w:tmpl w:val="8E8CFC18"/>
    <w:lvl w:ilvl="0" w:tplc="847279AE">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0AC4D71"/>
    <w:multiLevelType w:val="hybridMultilevel"/>
    <w:tmpl w:val="4ABC5C3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7406E43"/>
    <w:multiLevelType w:val="hybridMultilevel"/>
    <w:tmpl w:val="87B8034E"/>
    <w:lvl w:ilvl="0" w:tplc="7A2682AC">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98D42BC"/>
    <w:multiLevelType w:val="hybridMultilevel"/>
    <w:tmpl w:val="0206DF4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40978BC"/>
    <w:multiLevelType w:val="hybridMultilevel"/>
    <w:tmpl w:val="329C12F2"/>
    <w:lvl w:ilvl="0" w:tplc="0405000B">
      <w:start w:val="1"/>
      <w:numFmt w:val="bullet"/>
      <w:lvlText w:val=""/>
      <w:lvlJc w:val="left"/>
      <w:pPr>
        <w:ind w:left="717" w:hanging="360"/>
      </w:pPr>
      <w:rPr>
        <w:rFonts w:ascii="Wingdings" w:hAnsi="Wingdings"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8">
    <w:nsid w:val="36F80E67"/>
    <w:multiLevelType w:val="hybridMultilevel"/>
    <w:tmpl w:val="F1ECAF4E"/>
    <w:lvl w:ilvl="0" w:tplc="0405000B">
      <w:start w:val="1"/>
      <w:numFmt w:val="bullet"/>
      <w:lvlText w:val=""/>
      <w:lvlJc w:val="left"/>
      <w:pPr>
        <w:tabs>
          <w:tab w:val="num" w:pos="720"/>
        </w:tabs>
        <w:ind w:left="720" w:hanging="360"/>
      </w:pPr>
      <w:rPr>
        <w:rFonts w:ascii="Wingdings" w:hAnsi="Wingdings"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B840258"/>
    <w:multiLevelType w:val="hybridMultilevel"/>
    <w:tmpl w:val="14708AA8"/>
    <w:lvl w:ilvl="0" w:tplc="70F01412">
      <w:start w:val="9"/>
      <w:numFmt w:val="none"/>
      <w:isLgl/>
      <w:lvlText w:val="9.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D12112A"/>
    <w:multiLevelType w:val="hybridMultilevel"/>
    <w:tmpl w:val="65F87A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F9030BA"/>
    <w:multiLevelType w:val="hybridMultilevel"/>
    <w:tmpl w:val="E886ECAA"/>
    <w:lvl w:ilvl="0" w:tplc="CF9C47EE">
      <w:start w:val="1"/>
      <w:numFmt w:val="decimal"/>
      <w:lvlText w:val="%1)"/>
      <w:lvlJc w:val="left"/>
      <w:pPr>
        <w:tabs>
          <w:tab w:val="num" w:pos="720"/>
        </w:tabs>
        <w:ind w:left="720" w:hanging="360"/>
      </w:pPr>
      <w:rPr>
        <w:rFonts w:hint="default"/>
      </w:rPr>
    </w:lvl>
    <w:lvl w:ilvl="1" w:tplc="EFA8A324">
      <w:start w:val="1"/>
      <w:numFmt w:val="lowerLetter"/>
      <w:lvlText w:val="%2)"/>
      <w:lvlJc w:val="left"/>
      <w:pPr>
        <w:tabs>
          <w:tab w:val="num" w:pos="1440"/>
        </w:tabs>
        <w:ind w:left="1440" w:hanging="360"/>
      </w:pPr>
      <w:rPr>
        <w:rFonts w:hint="default"/>
      </w:rPr>
    </w:lvl>
    <w:lvl w:ilvl="2" w:tplc="BB2AAA20">
      <w:start w:val="200"/>
      <w:numFmt w:val="bullet"/>
      <w:lvlText w:val="-"/>
      <w:lvlJc w:val="left"/>
      <w:pPr>
        <w:tabs>
          <w:tab w:val="num" w:pos="2340"/>
        </w:tabs>
        <w:ind w:left="2340" w:hanging="360"/>
      </w:pPr>
      <w:rPr>
        <w:rFonts w:ascii="Garamond" w:eastAsia="Times New Roman" w:hAnsi="Garamond" w:cs="Garamond"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B8073D"/>
    <w:multiLevelType w:val="multilevel"/>
    <w:tmpl w:val="97D077B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4A2E0A85"/>
    <w:multiLevelType w:val="multilevel"/>
    <w:tmpl w:val="D30603AE"/>
    <w:lvl w:ilvl="0">
      <w:start w:val="5"/>
      <w:numFmt w:val="decimal"/>
      <w:lvlText w:val="%1."/>
      <w:lvlJc w:val="left"/>
      <w:pPr>
        <w:tabs>
          <w:tab w:val="num" w:pos="360"/>
        </w:tabs>
        <w:ind w:left="360" w:hanging="360"/>
      </w:pPr>
      <w:rPr>
        <w:rFonts w:ascii="Arial" w:hAnsi="Arial" w:cs="Arial" w:hint="default"/>
        <w:b/>
        <w:i w:val="0"/>
        <w:sz w:val="20"/>
        <w:szCs w:val="20"/>
      </w:rPr>
    </w:lvl>
    <w:lvl w:ilvl="1">
      <w:start w:val="1"/>
      <w:numFmt w:val="decimal"/>
      <w:lvlText w:val="%1.%2."/>
      <w:lvlJc w:val="left"/>
      <w:pPr>
        <w:tabs>
          <w:tab w:val="num" w:pos="792"/>
        </w:tabs>
        <w:ind w:left="357" w:hanging="357"/>
      </w:pPr>
      <w:rPr>
        <w:rFonts w:ascii="Arial" w:hAnsi="Arial" w:cs="Arial" w:hint="default"/>
        <w:b/>
        <w:i w:val="0"/>
        <w:sz w:val="20"/>
        <w:szCs w:val="20"/>
      </w:rPr>
    </w:lvl>
    <w:lvl w:ilvl="2">
      <w:start w:val="1"/>
      <w:numFmt w:val="decimal"/>
      <w:lvlText w:val="%1.%2.%3."/>
      <w:lvlJc w:val="left"/>
      <w:pPr>
        <w:tabs>
          <w:tab w:val="num" w:pos="1440"/>
        </w:tabs>
        <w:ind w:left="357" w:hanging="357"/>
      </w:pPr>
      <w:rPr>
        <w:rFonts w:ascii="Arial" w:hAnsi="Arial" w:cs="Arial" w:hint="default"/>
        <w:b/>
        <w:i w:val="0"/>
        <w:sz w:val="20"/>
        <w:szCs w:val="20"/>
      </w:rPr>
    </w:lvl>
    <w:lvl w:ilvl="3">
      <w:start w:val="1"/>
      <w:numFmt w:val="decimal"/>
      <w:lvlText w:val="%1.%2.%3.%4."/>
      <w:lvlJc w:val="left"/>
      <w:pPr>
        <w:tabs>
          <w:tab w:val="num" w:pos="1800"/>
        </w:tabs>
        <w:ind w:left="357" w:hanging="357"/>
      </w:pPr>
      <w:rPr>
        <w:rFonts w:ascii="Arial" w:hAnsi="Arial" w:cs="Arial" w:hint="default"/>
        <w:b/>
        <w:i w:val="0"/>
        <w:sz w:val="20"/>
        <w:szCs w:val="20"/>
      </w:rPr>
    </w:lvl>
    <w:lvl w:ilvl="4">
      <w:start w:val="1"/>
      <w:numFmt w:val="decimal"/>
      <w:lvlText w:val="%1.%2.%3.%4.%5."/>
      <w:lvlJc w:val="left"/>
      <w:pPr>
        <w:tabs>
          <w:tab w:val="num" w:pos="2520"/>
        </w:tabs>
        <w:ind w:left="357" w:hanging="357"/>
      </w:pPr>
      <w:rPr>
        <w:rFonts w:ascii="Arial" w:hAnsi="Arial" w:cs="Arial" w:hint="default"/>
        <w:b/>
        <w:i w:val="0"/>
        <w:sz w:val="20"/>
        <w:szCs w:val="20"/>
      </w:rPr>
    </w:lvl>
    <w:lvl w:ilvl="5">
      <w:start w:val="1"/>
      <w:numFmt w:val="decimal"/>
      <w:lvlText w:val="%1.%2.%3.%4.%5.%6."/>
      <w:lvlJc w:val="left"/>
      <w:pPr>
        <w:tabs>
          <w:tab w:val="num" w:pos="2880"/>
        </w:tabs>
        <w:ind w:left="357" w:hanging="357"/>
      </w:pPr>
      <w:rPr>
        <w:rFonts w:ascii="Arial" w:hAnsi="Arial" w:cs="Arial" w:hint="default"/>
        <w:b/>
        <w:i w:val="0"/>
        <w:sz w:val="20"/>
        <w:szCs w:val="20"/>
      </w:rPr>
    </w:lvl>
    <w:lvl w:ilvl="6">
      <w:start w:val="1"/>
      <w:numFmt w:val="decimal"/>
      <w:lvlText w:val="%1.%2.%3.%4.%5.%6.%7."/>
      <w:lvlJc w:val="left"/>
      <w:pPr>
        <w:tabs>
          <w:tab w:val="num" w:pos="3600"/>
        </w:tabs>
        <w:ind w:left="357" w:hanging="357"/>
      </w:pPr>
      <w:rPr>
        <w:rFonts w:ascii="Arial" w:hAnsi="Arial" w:cs="Arial" w:hint="default"/>
        <w:b/>
        <w:i w:val="0"/>
        <w:sz w:val="20"/>
        <w:szCs w:val="20"/>
      </w:rPr>
    </w:lvl>
    <w:lvl w:ilvl="7">
      <w:start w:val="1"/>
      <w:numFmt w:val="decimal"/>
      <w:lvlText w:val="%1.%2.%3.%4.%5.%6.%7.%8."/>
      <w:lvlJc w:val="left"/>
      <w:pPr>
        <w:tabs>
          <w:tab w:val="num" w:pos="3960"/>
        </w:tabs>
        <w:ind w:left="357" w:hanging="357"/>
      </w:pPr>
      <w:rPr>
        <w:rFonts w:ascii="Arial" w:hAnsi="Arial" w:cs="Arial" w:hint="default"/>
        <w:b/>
        <w:i w:val="0"/>
        <w:sz w:val="20"/>
        <w:szCs w:val="20"/>
      </w:rPr>
    </w:lvl>
    <w:lvl w:ilvl="8">
      <w:start w:val="1"/>
      <w:numFmt w:val="decimal"/>
      <w:lvlText w:val="%1.%2.%3.%4.%5.%6.%7.%8.%9."/>
      <w:lvlJc w:val="left"/>
      <w:pPr>
        <w:tabs>
          <w:tab w:val="num" w:pos="4680"/>
        </w:tabs>
        <w:ind w:left="357" w:hanging="357"/>
      </w:pPr>
      <w:rPr>
        <w:rFonts w:ascii="Arial" w:hAnsi="Arial" w:cs="Arial" w:hint="default"/>
        <w:b/>
        <w:i w:val="0"/>
        <w:sz w:val="20"/>
        <w:szCs w:val="20"/>
      </w:rPr>
    </w:lvl>
  </w:abstractNum>
  <w:abstractNum w:abstractNumId="14">
    <w:nsid w:val="4D933DD3"/>
    <w:multiLevelType w:val="multilevel"/>
    <w:tmpl w:val="8C866EF6"/>
    <w:lvl w:ilvl="0">
      <w:start w:val="1"/>
      <w:numFmt w:val="decimal"/>
      <w:pStyle w:val="Obsah1"/>
      <w:lvlText w:val="9.%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E751EE6"/>
    <w:multiLevelType w:val="hybridMultilevel"/>
    <w:tmpl w:val="366C5CC2"/>
    <w:lvl w:ilvl="0" w:tplc="0405000F">
      <w:start w:val="1"/>
      <w:numFmt w:val="decimal"/>
      <w:lvlText w:val="%1."/>
      <w:lvlJc w:val="left"/>
      <w:pPr>
        <w:ind w:left="347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3BB6DAE"/>
    <w:multiLevelType w:val="hybridMultilevel"/>
    <w:tmpl w:val="E260129E"/>
    <w:lvl w:ilvl="0" w:tplc="5C386542">
      <w:start w:val="4"/>
      <w:numFmt w:val="bullet"/>
      <w:lvlText w:val="-"/>
      <w:lvlJc w:val="left"/>
      <w:pPr>
        <w:ind w:left="1440" w:hanging="360"/>
      </w:pPr>
      <w:rPr>
        <w:rFonts w:ascii="Arial" w:eastAsia="Times New Roman" w:hAnsi="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nsid w:val="58463B6E"/>
    <w:multiLevelType w:val="hybridMultilevel"/>
    <w:tmpl w:val="27508D7C"/>
    <w:lvl w:ilvl="0" w:tplc="BD7AA52A">
      <w:start w:val="1"/>
      <w:numFmt w:val="decimal"/>
      <w:lvlText w:val="%1)"/>
      <w:lvlJc w:val="left"/>
      <w:pPr>
        <w:ind w:left="720" w:hanging="360"/>
      </w:pPr>
      <w:rPr>
        <w:rFonts w:eastAsia="Times New Roman" w:cs="Garamond" w:hint="default"/>
        <w:b/>
      </w:rPr>
    </w:lvl>
    <w:lvl w:ilvl="1" w:tplc="793EA594">
      <w:start w:val="1"/>
      <w:numFmt w:val="decimal"/>
      <w:lvlText w:val="2.%2."/>
      <w:lvlJc w:val="left"/>
      <w:pPr>
        <w:ind w:left="1440" w:hanging="360"/>
      </w:pPr>
      <w:rPr>
        <w:rFonts w:hint="default"/>
        <w:b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0EE5042"/>
    <w:multiLevelType w:val="hybridMultilevel"/>
    <w:tmpl w:val="1F58FEE0"/>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9">
    <w:nsid w:val="66D008AA"/>
    <w:multiLevelType w:val="hybridMultilevel"/>
    <w:tmpl w:val="437AF6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14D770B"/>
    <w:multiLevelType w:val="hybridMultilevel"/>
    <w:tmpl w:val="38D465F0"/>
    <w:lvl w:ilvl="0" w:tplc="64E04396">
      <w:start w:val="7"/>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77BB093A"/>
    <w:multiLevelType w:val="hybridMultilevel"/>
    <w:tmpl w:val="9604821A"/>
    <w:lvl w:ilvl="0" w:tplc="B144208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77D1561A"/>
    <w:multiLevelType w:val="hybridMultilevel"/>
    <w:tmpl w:val="D93A4150"/>
    <w:lvl w:ilvl="0" w:tplc="5C386542">
      <w:start w:val="4"/>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CE76C2D"/>
    <w:multiLevelType w:val="hybridMultilevel"/>
    <w:tmpl w:val="0700FA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9"/>
  </w:num>
  <w:num w:numId="3">
    <w:abstractNumId w:val="14"/>
  </w:num>
  <w:num w:numId="4">
    <w:abstractNumId w:val="0"/>
    <w:lvlOverride w:ilvl="0">
      <w:lvl w:ilvl="0">
        <w:numFmt w:val="bullet"/>
        <w:lvlText w:val=""/>
        <w:legacy w:legacy="1" w:legacySpace="120" w:legacyIndent="360"/>
        <w:lvlJc w:val="left"/>
        <w:pPr>
          <w:ind w:left="720" w:hanging="360"/>
        </w:pPr>
        <w:rPr>
          <w:rFonts w:ascii="Symbol" w:hAnsi="Symbol" w:hint="default"/>
        </w:rPr>
      </w:lvl>
    </w:lvlOverride>
  </w:num>
  <w:num w:numId="5">
    <w:abstractNumId w:val="20"/>
  </w:num>
  <w:num w:numId="6">
    <w:abstractNumId w:val="21"/>
  </w:num>
  <w:num w:numId="7">
    <w:abstractNumId w:val="5"/>
  </w:num>
  <w:num w:numId="8">
    <w:abstractNumId w:val="3"/>
  </w:num>
  <w:num w:numId="9">
    <w:abstractNumId w:val="8"/>
  </w:num>
  <w:num w:numId="10">
    <w:abstractNumId w:val="12"/>
  </w:num>
  <w:num w:numId="11">
    <w:abstractNumId w:val="11"/>
  </w:num>
  <w:num w:numId="12">
    <w:abstractNumId w:val="15"/>
  </w:num>
  <w:num w:numId="13">
    <w:abstractNumId w:val="16"/>
  </w:num>
  <w:num w:numId="14">
    <w:abstractNumId w:val="13"/>
  </w:num>
  <w:num w:numId="15">
    <w:abstractNumId w:val="17"/>
  </w:num>
  <w:num w:numId="16">
    <w:abstractNumId w:val="23"/>
  </w:num>
  <w:num w:numId="17">
    <w:abstractNumId w:val="7"/>
  </w:num>
  <w:num w:numId="18">
    <w:abstractNumId w:val="10"/>
  </w:num>
  <w:num w:numId="19">
    <w:abstractNumId w:val="18"/>
  </w:num>
  <w:num w:numId="20">
    <w:abstractNumId w:val="1"/>
  </w:num>
  <w:num w:numId="21">
    <w:abstractNumId w:val="6"/>
  </w:num>
  <w:num w:numId="22">
    <w:abstractNumId w:val="4"/>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53AD9"/>
    <w:rsid w:val="00005EA4"/>
    <w:rsid w:val="00014C05"/>
    <w:rsid w:val="00015A51"/>
    <w:rsid w:val="0003352B"/>
    <w:rsid w:val="00036DC1"/>
    <w:rsid w:val="000378C6"/>
    <w:rsid w:val="000511E4"/>
    <w:rsid w:val="00052E62"/>
    <w:rsid w:val="00056BA9"/>
    <w:rsid w:val="000577E7"/>
    <w:rsid w:val="00062E26"/>
    <w:rsid w:val="00065A51"/>
    <w:rsid w:val="0006633B"/>
    <w:rsid w:val="000673A5"/>
    <w:rsid w:val="000673D0"/>
    <w:rsid w:val="00070633"/>
    <w:rsid w:val="000715CA"/>
    <w:rsid w:val="000759B4"/>
    <w:rsid w:val="000912BE"/>
    <w:rsid w:val="00093925"/>
    <w:rsid w:val="000A14C7"/>
    <w:rsid w:val="000A1837"/>
    <w:rsid w:val="000A3F15"/>
    <w:rsid w:val="000A4463"/>
    <w:rsid w:val="000C2E9E"/>
    <w:rsid w:val="000D16A3"/>
    <w:rsid w:val="000E552D"/>
    <w:rsid w:val="000E6599"/>
    <w:rsid w:val="000E67CE"/>
    <w:rsid w:val="000F06B0"/>
    <w:rsid w:val="000F2BE7"/>
    <w:rsid w:val="000F5599"/>
    <w:rsid w:val="00102E19"/>
    <w:rsid w:val="00112F98"/>
    <w:rsid w:val="00116B3A"/>
    <w:rsid w:val="001176F8"/>
    <w:rsid w:val="001179E4"/>
    <w:rsid w:val="001231BF"/>
    <w:rsid w:val="00123670"/>
    <w:rsid w:val="00130730"/>
    <w:rsid w:val="00131139"/>
    <w:rsid w:val="00137D17"/>
    <w:rsid w:val="00156FAB"/>
    <w:rsid w:val="0015710B"/>
    <w:rsid w:val="001576C1"/>
    <w:rsid w:val="001576E4"/>
    <w:rsid w:val="0016052A"/>
    <w:rsid w:val="0016783E"/>
    <w:rsid w:val="0017163D"/>
    <w:rsid w:val="00172CAE"/>
    <w:rsid w:val="00175C34"/>
    <w:rsid w:val="00185D73"/>
    <w:rsid w:val="00195692"/>
    <w:rsid w:val="001A438A"/>
    <w:rsid w:val="001B3E25"/>
    <w:rsid w:val="001D4D13"/>
    <w:rsid w:val="001D60C5"/>
    <w:rsid w:val="001D69F7"/>
    <w:rsid w:val="001D789A"/>
    <w:rsid w:val="001E2F32"/>
    <w:rsid w:val="001F3E1D"/>
    <w:rsid w:val="001F5C85"/>
    <w:rsid w:val="00213267"/>
    <w:rsid w:val="00215D30"/>
    <w:rsid w:val="00220BCF"/>
    <w:rsid w:val="00224BCC"/>
    <w:rsid w:val="00225149"/>
    <w:rsid w:val="00231AA4"/>
    <w:rsid w:val="00234878"/>
    <w:rsid w:val="0023741B"/>
    <w:rsid w:val="00244C01"/>
    <w:rsid w:val="00253AD9"/>
    <w:rsid w:val="00254189"/>
    <w:rsid w:val="002560AE"/>
    <w:rsid w:val="00256D4B"/>
    <w:rsid w:val="00263958"/>
    <w:rsid w:val="002703ED"/>
    <w:rsid w:val="00271853"/>
    <w:rsid w:val="00272095"/>
    <w:rsid w:val="002729FD"/>
    <w:rsid w:val="0027444B"/>
    <w:rsid w:val="002819D2"/>
    <w:rsid w:val="002854B2"/>
    <w:rsid w:val="00286FDE"/>
    <w:rsid w:val="00287A3C"/>
    <w:rsid w:val="00295CA5"/>
    <w:rsid w:val="0029642B"/>
    <w:rsid w:val="002974CF"/>
    <w:rsid w:val="002A7B87"/>
    <w:rsid w:val="002B7CF7"/>
    <w:rsid w:val="002C07EF"/>
    <w:rsid w:val="002C6839"/>
    <w:rsid w:val="002D2125"/>
    <w:rsid w:val="002D3E9E"/>
    <w:rsid w:val="002D4A81"/>
    <w:rsid w:val="002D5B74"/>
    <w:rsid w:val="002D70DB"/>
    <w:rsid w:val="002E2F9F"/>
    <w:rsid w:val="002F290D"/>
    <w:rsid w:val="002F3315"/>
    <w:rsid w:val="002F43F3"/>
    <w:rsid w:val="00332AB4"/>
    <w:rsid w:val="00335496"/>
    <w:rsid w:val="00337284"/>
    <w:rsid w:val="00340894"/>
    <w:rsid w:val="003418D3"/>
    <w:rsid w:val="003479CE"/>
    <w:rsid w:val="003512A8"/>
    <w:rsid w:val="0035431E"/>
    <w:rsid w:val="00356CCE"/>
    <w:rsid w:val="00363802"/>
    <w:rsid w:val="00364A81"/>
    <w:rsid w:val="00370A83"/>
    <w:rsid w:val="00374149"/>
    <w:rsid w:val="0038374C"/>
    <w:rsid w:val="003870ED"/>
    <w:rsid w:val="003953DC"/>
    <w:rsid w:val="0039697F"/>
    <w:rsid w:val="003A4406"/>
    <w:rsid w:val="003B0DE3"/>
    <w:rsid w:val="003C47CF"/>
    <w:rsid w:val="003C769D"/>
    <w:rsid w:val="003D06D2"/>
    <w:rsid w:val="003D1A19"/>
    <w:rsid w:val="003F0B46"/>
    <w:rsid w:val="003F53AD"/>
    <w:rsid w:val="003F562A"/>
    <w:rsid w:val="003F5F9B"/>
    <w:rsid w:val="00402CF2"/>
    <w:rsid w:val="00407C5D"/>
    <w:rsid w:val="004135E8"/>
    <w:rsid w:val="0042060A"/>
    <w:rsid w:val="00422E7A"/>
    <w:rsid w:val="004249E4"/>
    <w:rsid w:val="00425F6D"/>
    <w:rsid w:val="00426227"/>
    <w:rsid w:val="00427576"/>
    <w:rsid w:val="00427E09"/>
    <w:rsid w:val="00436C2E"/>
    <w:rsid w:val="00442CF6"/>
    <w:rsid w:val="00444751"/>
    <w:rsid w:val="00447E21"/>
    <w:rsid w:val="004571BA"/>
    <w:rsid w:val="00463C58"/>
    <w:rsid w:val="00464816"/>
    <w:rsid w:val="00471632"/>
    <w:rsid w:val="004719E4"/>
    <w:rsid w:val="00473160"/>
    <w:rsid w:val="00475D15"/>
    <w:rsid w:val="00486BC3"/>
    <w:rsid w:val="004875A0"/>
    <w:rsid w:val="004B009E"/>
    <w:rsid w:val="004C55A9"/>
    <w:rsid w:val="004D45FF"/>
    <w:rsid w:val="004E79B2"/>
    <w:rsid w:val="004F6397"/>
    <w:rsid w:val="004F758B"/>
    <w:rsid w:val="0050442B"/>
    <w:rsid w:val="00506F11"/>
    <w:rsid w:val="00521EC4"/>
    <w:rsid w:val="00522D90"/>
    <w:rsid w:val="00524641"/>
    <w:rsid w:val="00532297"/>
    <w:rsid w:val="0053514E"/>
    <w:rsid w:val="00540029"/>
    <w:rsid w:val="005542A2"/>
    <w:rsid w:val="00560515"/>
    <w:rsid w:val="005675DB"/>
    <w:rsid w:val="005676A3"/>
    <w:rsid w:val="00573324"/>
    <w:rsid w:val="00586D2F"/>
    <w:rsid w:val="005A2F45"/>
    <w:rsid w:val="005A723E"/>
    <w:rsid w:val="005B4420"/>
    <w:rsid w:val="005C18DF"/>
    <w:rsid w:val="005C1AB3"/>
    <w:rsid w:val="005C3E10"/>
    <w:rsid w:val="005C5EEC"/>
    <w:rsid w:val="005C76F6"/>
    <w:rsid w:val="005D2EC7"/>
    <w:rsid w:val="005D5EDB"/>
    <w:rsid w:val="005E1C5A"/>
    <w:rsid w:val="005E48D3"/>
    <w:rsid w:val="005E7F95"/>
    <w:rsid w:val="005F52D1"/>
    <w:rsid w:val="00600394"/>
    <w:rsid w:val="00601F9A"/>
    <w:rsid w:val="00602C6F"/>
    <w:rsid w:val="00615DA7"/>
    <w:rsid w:val="0062262A"/>
    <w:rsid w:val="00640EA1"/>
    <w:rsid w:val="00643628"/>
    <w:rsid w:val="006450EC"/>
    <w:rsid w:val="00660CA6"/>
    <w:rsid w:val="00664C32"/>
    <w:rsid w:val="00685771"/>
    <w:rsid w:val="00690129"/>
    <w:rsid w:val="00691C7C"/>
    <w:rsid w:val="00691EB9"/>
    <w:rsid w:val="00693B5B"/>
    <w:rsid w:val="00693EF9"/>
    <w:rsid w:val="006A6440"/>
    <w:rsid w:val="006B02A4"/>
    <w:rsid w:val="006B0ABE"/>
    <w:rsid w:val="006B1E63"/>
    <w:rsid w:val="006B51BE"/>
    <w:rsid w:val="006C0637"/>
    <w:rsid w:val="006C22E8"/>
    <w:rsid w:val="006C2D3B"/>
    <w:rsid w:val="006D0CFB"/>
    <w:rsid w:val="006D414B"/>
    <w:rsid w:val="006D4431"/>
    <w:rsid w:val="006D5168"/>
    <w:rsid w:val="006D7EED"/>
    <w:rsid w:val="006E0A0C"/>
    <w:rsid w:val="006E2467"/>
    <w:rsid w:val="006F2682"/>
    <w:rsid w:val="007057B0"/>
    <w:rsid w:val="00711B90"/>
    <w:rsid w:val="007149E1"/>
    <w:rsid w:val="00730BA8"/>
    <w:rsid w:val="00734FE8"/>
    <w:rsid w:val="007375C8"/>
    <w:rsid w:val="007463E4"/>
    <w:rsid w:val="007521CB"/>
    <w:rsid w:val="00755C71"/>
    <w:rsid w:val="00757060"/>
    <w:rsid w:val="00771916"/>
    <w:rsid w:val="007737F0"/>
    <w:rsid w:val="0077762B"/>
    <w:rsid w:val="00783ADA"/>
    <w:rsid w:val="00793AC5"/>
    <w:rsid w:val="007A14DA"/>
    <w:rsid w:val="007B1108"/>
    <w:rsid w:val="007B77A2"/>
    <w:rsid w:val="007C0385"/>
    <w:rsid w:val="007C1749"/>
    <w:rsid w:val="007C6E7A"/>
    <w:rsid w:val="007D5241"/>
    <w:rsid w:val="007D5937"/>
    <w:rsid w:val="007D7EDE"/>
    <w:rsid w:val="007E27C5"/>
    <w:rsid w:val="007E3ED9"/>
    <w:rsid w:val="007F209A"/>
    <w:rsid w:val="007F6C55"/>
    <w:rsid w:val="00801260"/>
    <w:rsid w:val="008049E7"/>
    <w:rsid w:val="00806BB1"/>
    <w:rsid w:val="0081360E"/>
    <w:rsid w:val="0082543C"/>
    <w:rsid w:val="00835335"/>
    <w:rsid w:val="00843560"/>
    <w:rsid w:val="00846110"/>
    <w:rsid w:val="00853408"/>
    <w:rsid w:val="00854892"/>
    <w:rsid w:val="0086081F"/>
    <w:rsid w:val="0088308A"/>
    <w:rsid w:val="00893DE8"/>
    <w:rsid w:val="00897119"/>
    <w:rsid w:val="008A23D7"/>
    <w:rsid w:val="008A31FC"/>
    <w:rsid w:val="008B04FD"/>
    <w:rsid w:val="008B212A"/>
    <w:rsid w:val="008B2E91"/>
    <w:rsid w:val="008D4021"/>
    <w:rsid w:val="008F2101"/>
    <w:rsid w:val="00910CDB"/>
    <w:rsid w:val="00921020"/>
    <w:rsid w:val="00935B4F"/>
    <w:rsid w:val="0094171B"/>
    <w:rsid w:val="00943443"/>
    <w:rsid w:val="009477CF"/>
    <w:rsid w:val="00960C8C"/>
    <w:rsid w:val="00970BD7"/>
    <w:rsid w:val="00970BE1"/>
    <w:rsid w:val="00976300"/>
    <w:rsid w:val="00982533"/>
    <w:rsid w:val="009848D8"/>
    <w:rsid w:val="00991BB4"/>
    <w:rsid w:val="00993A19"/>
    <w:rsid w:val="009961E2"/>
    <w:rsid w:val="00996DD8"/>
    <w:rsid w:val="009A581D"/>
    <w:rsid w:val="009B4B0C"/>
    <w:rsid w:val="009C35E5"/>
    <w:rsid w:val="009D719C"/>
    <w:rsid w:val="009F2CCD"/>
    <w:rsid w:val="009F3A1F"/>
    <w:rsid w:val="00A17927"/>
    <w:rsid w:val="00A2575A"/>
    <w:rsid w:val="00A25A27"/>
    <w:rsid w:val="00A32FE5"/>
    <w:rsid w:val="00A438E5"/>
    <w:rsid w:val="00A4518A"/>
    <w:rsid w:val="00A5347A"/>
    <w:rsid w:val="00A5366B"/>
    <w:rsid w:val="00A54843"/>
    <w:rsid w:val="00A55460"/>
    <w:rsid w:val="00A56775"/>
    <w:rsid w:val="00A6434D"/>
    <w:rsid w:val="00A723A1"/>
    <w:rsid w:val="00A91574"/>
    <w:rsid w:val="00A92450"/>
    <w:rsid w:val="00A92F48"/>
    <w:rsid w:val="00A96D91"/>
    <w:rsid w:val="00AA0A6D"/>
    <w:rsid w:val="00AA6955"/>
    <w:rsid w:val="00AA6AB6"/>
    <w:rsid w:val="00AB0442"/>
    <w:rsid w:val="00AB1A3F"/>
    <w:rsid w:val="00AB2FC2"/>
    <w:rsid w:val="00AB30E9"/>
    <w:rsid w:val="00AC26E9"/>
    <w:rsid w:val="00AC36D3"/>
    <w:rsid w:val="00AC5495"/>
    <w:rsid w:val="00AD36F8"/>
    <w:rsid w:val="00AE2DC0"/>
    <w:rsid w:val="00AE4509"/>
    <w:rsid w:val="00B01894"/>
    <w:rsid w:val="00B029BE"/>
    <w:rsid w:val="00B041B7"/>
    <w:rsid w:val="00B06FE2"/>
    <w:rsid w:val="00B17EB8"/>
    <w:rsid w:val="00B205D7"/>
    <w:rsid w:val="00B20D14"/>
    <w:rsid w:val="00B22F6B"/>
    <w:rsid w:val="00B23563"/>
    <w:rsid w:val="00B31DE6"/>
    <w:rsid w:val="00B34DD6"/>
    <w:rsid w:val="00B350FB"/>
    <w:rsid w:val="00B35582"/>
    <w:rsid w:val="00B37758"/>
    <w:rsid w:val="00B4028C"/>
    <w:rsid w:val="00B45B8A"/>
    <w:rsid w:val="00B45FBE"/>
    <w:rsid w:val="00B476B8"/>
    <w:rsid w:val="00B52240"/>
    <w:rsid w:val="00B62CF9"/>
    <w:rsid w:val="00B74A86"/>
    <w:rsid w:val="00B74AC7"/>
    <w:rsid w:val="00B85CE6"/>
    <w:rsid w:val="00B864E0"/>
    <w:rsid w:val="00B921CA"/>
    <w:rsid w:val="00B94F8D"/>
    <w:rsid w:val="00B97477"/>
    <w:rsid w:val="00BA07E9"/>
    <w:rsid w:val="00BB0A3B"/>
    <w:rsid w:val="00BB4B28"/>
    <w:rsid w:val="00BC1F6C"/>
    <w:rsid w:val="00BC7B2C"/>
    <w:rsid w:val="00BD180C"/>
    <w:rsid w:val="00BE6780"/>
    <w:rsid w:val="00BF0D16"/>
    <w:rsid w:val="00BF43FA"/>
    <w:rsid w:val="00C12E03"/>
    <w:rsid w:val="00C2387B"/>
    <w:rsid w:val="00C3102B"/>
    <w:rsid w:val="00C33E5E"/>
    <w:rsid w:val="00C41588"/>
    <w:rsid w:val="00C47F7D"/>
    <w:rsid w:val="00C50744"/>
    <w:rsid w:val="00C54705"/>
    <w:rsid w:val="00C60729"/>
    <w:rsid w:val="00C64DA9"/>
    <w:rsid w:val="00C67CA6"/>
    <w:rsid w:val="00C76F4D"/>
    <w:rsid w:val="00CB680E"/>
    <w:rsid w:val="00CC3FE4"/>
    <w:rsid w:val="00CC4A46"/>
    <w:rsid w:val="00CD28E7"/>
    <w:rsid w:val="00CD296C"/>
    <w:rsid w:val="00CD3FA8"/>
    <w:rsid w:val="00CD4181"/>
    <w:rsid w:val="00CE0192"/>
    <w:rsid w:val="00CE3476"/>
    <w:rsid w:val="00CE4782"/>
    <w:rsid w:val="00CE57AB"/>
    <w:rsid w:val="00CF00F0"/>
    <w:rsid w:val="00CF0CEA"/>
    <w:rsid w:val="00D16A52"/>
    <w:rsid w:val="00D23D03"/>
    <w:rsid w:val="00D254FB"/>
    <w:rsid w:val="00D26EC0"/>
    <w:rsid w:val="00D3771F"/>
    <w:rsid w:val="00D44BD4"/>
    <w:rsid w:val="00D453AE"/>
    <w:rsid w:val="00D5396F"/>
    <w:rsid w:val="00D558F1"/>
    <w:rsid w:val="00D65E08"/>
    <w:rsid w:val="00D739DA"/>
    <w:rsid w:val="00DC211F"/>
    <w:rsid w:val="00DC54BD"/>
    <w:rsid w:val="00DD0B5A"/>
    <w:rsid w:val="00DD7901"/>
    <w:rsid w:val="00DF1ED7"/>
    <w:rsid w:val="00DF23EF"/>
    <w:rsid w:val="00DF3E0B"/>
    <w:rsid w:val="00DF4175"/>
    <w:rsid w:val="00DF5E38"/>
    <w:rsid w:val="00E05415"/>
    <w:rsid w:val="00E26EA3"/>
    <w:rsid w:val="00E31D74"/>
    <w:rsid w:val="00E35272"/>
    <w:rsid w:val="00E43F61"/>
    <w:rsid w:val="00E57D05"/>
    <w:rsid w:val="00E62824"/>
    <w:rsid w:val="00E670CC"/>
    <w:rsid w:val="00E6767B"/>
    <w:rsid w:val="00E72352"/>
    <w:rsid w:val="00E7389D"/>
    <w:rsid w:val="00E8117E"/>
    <w:rsid w:val="00E83974"/>
    <w:rsid w:val="00E84F14"/>
    <w:rsid w:val="00E91352"/>
    <w:rsid w:val="00E94FFE"/>
    <w:rsid w:val="00E96F88"/>
    <w:rsid w:val="00E978BA"/>
    <w:rsid w:val="00EA511B"/>
    <w:rsid w:val="00EB24A3"/>
    <w:rsid w:val="00ED3E99"/>
    <w:rsid w:val="00EE4ACB"/>
    <w:rsid w:val="00F05616"/>
    <w:rsid w:val="00F075D9"/>
    <w:rsid w:val="00F15DDB"/>
    <w:rsid w:val="00F21CAD"/>
    <w:rsid w:val="00F22DBB"/>
    <w:rsid w:val="00F3176A"/>
    <w:rsid w:val="00F318F9"/>
    <w:rsid w:val="00F3439C"/>
    <w:rsid w:val="00F3608F"/>
    <w:rsid w:val="00F43BB3"/>
    <w:rsid w:val="00F5666B"/>
    <w:rsid w:val="00F62259"/>
    <w:rsid w:val="00F65AC6"/>
    <w:rsid w:val="00F70F41"/>
    <w:rsid w:val="00F92F06"/>
    <w:rsid w:val="00F935FF"/>
    <w:rsid w:val="00F94022"/>
    <w:rsid w:val="00FA29B0"/>
    <w:rsid w:val="00FB0F77"/>
    <w:rsid w:val="00FB21E1"/>
    <w:rsid w:val="00FB29DC"/>
    <w:rsid w:val="00FB45D0"/>
    <w:rsid w:val="00FB5F82"/>
    <w:rsid w:val="00FC29D7"/>
    <w:rsid w:val="00FC6B5D"/>
    <w:rsid w:val="00FD3909"/>
    <w:rsid w:val="00FD5564"/>
    <w:rsid w:val="00FE1075"/>
    <w:rsid w:val="00FF1168"/>
    <w:rsid w:val="00FF2B40"/>
    <w:rsid w:val="00FF6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tabs>
        <w:tab w:val="num" w:pos="360"/>
      </w:tabs>
      <w:ind w:left="360" w:hanging="360"/>
      <w:outlineLvl w:val="0"/>
    </w:pPr>
    <w:rPr>
      <w:b/>
      <w:i/>
      <w:szCs w:val="40"/>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40" w:after="40"/>
      <w:outlineLvl w:val="2"/>
    </w:pPr>
    <w:rPr>
      <w:rFonts w:ascii="Garamond" w:hAnsi="Garamond" w:cs="Arial"/>
      <w:b/>
      <w:shadow/>
    </w:rPr>
  </w:style>
  <w:style w:type="paragraph" w:styleId="Nadpis5">
    <w:name w:val="heading 5"/>
    <w:basedOn w:val="Normln"/>
    <w:next w:val="Normln"/>
    <w:qFormat/>
    <w:pPr>
      <w:keepNext/>
      <w:keepLines/>
      <w:spacing w:before="120" w:after="120"/>
      <w:outlineLvl w:val="4"/>
    </w:pPr>
    <w:rPr>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u w:val="single"/>
    </w:rPr>
  </w:style>
  <w:style w:type="paragraph" w:styleId="Obsah1">
    <w:name w:val="toc 1"/>
    <w:basedOn w:val="Normln"/>
    <w:next w:val="Normln"/>
    <w:autoRedefine/>
    <w:semiHidden/>
    <w:pPr>
      <w:numPr>
        <w:numId w:val="3"/>
      </w:numPr>
    </w:pPr>
    <w:rPr>
      <w:b/>
      <w:bCs/>
    </w:rPr>
  </w:style>
  <w:style w:type="paragraph" w:styleId="Zkladntextodsazen">
    <w:name w:val="Body Text Indent"/>
    <w:basedOn w:val="Normln"/>
    <w:pPr>
      <w:ind w:left="360"/>
      <w:jc w:val="both"/>
    </w:pPr>
    <w:rPr>
      <w:sz w:val="22"/>
      <w:szCs w:val="22"/>
    </w:rPr>
  </w:style>
  <w:style w:type="paragraph" w:styleId="Zkladntextodsazen2">
    <w:name w:val="Body Text Indent 2"/>
    <w:basedOn w:val="Normln"/>
    <w:pPr>
      <w:spacing w:after="120"/>
      <w:ind w:left="360"/>
      <w:jc w:val="both"/>
    </w:pPr>
  </w:style>
  <w:style w:type="paragraph" w:styleId="Zkladntext">
    <w:name w:val="Body Text"/>
    <w:basedOn w:val="Normln"/>
    <w:link w:val="ZkladntextChar"/>
    <w:uiPriority w:val="99"/>
    <w:pPr>
      <w:jc w:val="both"/>
    </w:pPr>
    <w:rPr>
      <w:szCs w:val="22"/>
    </w:rPr>
  </w:style>
  <w:style w:type="paragraph" w:styleId="Textbubliny">
    <w:name w:val="Balloon Text"/>
    <w:basedOn w:val="Normln"/>
    <w:semiHidden/>
    <w:rPr>
      <w:rFonts w:ascii="Tahoma" w:hAnsi="Tahoma" w:cs="Tahoma"/>
      <w:sz w:val="16"/>
      <w:szCs w:val="16"/>
    </w:rPr>
  </w:style>
  <w:style w:type="character" w:styleId="Odkaznakoment">
    <w:name w:val="annotation reference"/>
    <w:uiPriority w:val="99"/>
    <w:semiHidden/>
    <w:rPr>
      <w:sz w:val="16"/>
      <w:szCs w:val="16"/>
    </w:rPr>
  </w:style>
  <w:style w:type="paragraph" w:styleId="Textpoznpodarou">
    <w:name w:val="footnote text"/>
    <w:basedOn w:val="Normln"/>
    <w:semiHidden/>
    <w:rPr>
      <w:sz w:val="20"/>
      <w:szCs w:val="20"/>
    </w:rPr>
  </w:style>
  <w:style w:type="character" w:styleId="Znakapoznpodarou">
    <w:name w:val="footnote reference"/>
    <w:uiPriority w:val="99"/>
    <w:semiHidden/>
    <w:rPr>
      <w:vertAlign w:val="superscript"/>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2">
    <w:name w:val="Body Text 2"/>
    <w:basedOn w:val="Normln"/>
    <w:pPr>
      <w:spacing w:after="120" w:line="480" w:lineRule="auto"/>
    </w:pPr>
  </w:style>
  <w:style w:type="paragraph" w:styleId="Textkomente">
    <w:name w:val="annotation text"/>
    <w:basedOn w:val="Normln"/>
    <w:link w:val="TextkomenteChar"/>
    <w:semiHidden/>
    <w:rPr>
      <w:sz w:val="20"/>
      <w:szCs w:val="20"/>
    </w:rPr>
  </w:style>
  <w:style w:type="paragraph" w:styleId="Pedmtkomente">
    <w:name w:val="annotation subject"/>
    <w:basedOn w:val="Textkomente"/>
    <w:next w:val="Textkomente"/>
    <w:semiHidden/>
    <w:rPr>
      <w:b/>
      <w:bCs/>
    </w:rPr>
  </w:style>
  <w:style w:type="paragraph" w:styleId="Prosttext">
    <w:name w:val="Plain Text"/>
    <w:basedOn w:val="Normln"/>
    <w:link w:val="ProsttextChar"/>
    <w:rsid w:val="002D2125"/>
    <w:rPr>
      <w:rFonts w:ascii="Courier New" w:hAnsi="Courier New" w:cs="Courier New"/>
      <w:sz w:val="20"/>
      <w:szCs w:val="20"/>
    </w:rPr>
  </w:style>
  <w:style w:type="character" w:customStyle="1" w:styleId="ProsttextChar">
    <w:name w:val="Prostý text Char"/>
    <w:link w:val="Prosttext"/>
    <w:rsid w:val="002D2125"/>
    <w:rPr>
      <w:rFonts w:ascii="Courier New" w:hAnsi="Courier New" w:cs="Courier New"/>
    </w:rPr>
  </w:style>
  <w:style w:type="paragraph" w:styleId="Normlnweb">
    <w:name w:val="Normal (Web)"/>
    <w:basedOn w:val="Normln"/>
    <w:rsid w:val="002D2125"/>
    <w:pPr>
      <w:spacing w:before="100" w:beforeAutospacing="1" w:after="100" w:afterAutospacing="1"/>
    </w:pPr>
  </w:style>
  <w:style w:type="paragraph" w:styleId="Odstavecseseznamem">
    <w:name w:val="List Paragraph"/>
    <w:basedOn w:val="Normln"/>
    <w:uiPriority w:val="34"/>
    <w:qFormat/>
    <w:rsid w:val="002D2125"/>
    <w:pPr>
      <w:ind w:left="708"/>
    </w:pPr>
  </w:style>
  <w:style w:type="character" w:customStyle="1" w:styleId="TextkomenteChar">
    <w:name w:val="Text komentáře Char"/>
    <w:link w:val="Textkomente"/>
    <w:semiHidden/>
    <w:rsid w:val="002D2125"/>
  </w:style>
  <w:style w:type="character" w:styleId="Siln">
    <w:name w:val="Strong"/>
    <w:uiPriority w:val="22"/>
    <w:qFormat/>
    <w:rsid w:val="00711B90"/>
    <w:rPr>
      <w:b/>
      <w:bCs/>
    </w:rPr>
  </w:style>
  <w:style w:type="character" w:customStyle="1" w:styleId="ZkladntextChar">
    <w:name w:val="Základní text Char"/>
    <w:link w:val="Zkladntext"/>
    <w:uiPriority w:val="99"/>
    <w:rsid w:val="007D5937"/>
    <w:rPr>
      <w:sz w:val="24"/>
      <w:szCs w:val="22"/>
    </w:rPr>
  </w:style>
  <w:style w:type="paragraph" w:styleId="Obsah7">
    <w:name w:val="toc 7"/>
    <w:basedOn w:val="Normln"/>
    <w:next w:val="Normln"/>
    <w:autoRedefine/>
    <w:rsid w:val="006D414B"/>
    <w:pPr>
      <w:ind w:left="1440"/>
    </w:pPr>
  </w:style>
  <w:style w:type="paragraph" w:styleId="Revize">
    <w:name w:val="Revision"/>
    <w:hidden/>
    <w:uiPriority w:val="99"/>
    <w:semiHidden/>
    <w:rsid w:val="00AB2FC2"/>
    <w:rPr>
      <w:sz w:val="24"/>
      <w:szCs w:val="24"/>
    </w:rPr>
  </w:style>
  <w:style w:type="paragraph" w:customStyle="1" w:styleId="Nadpis">
    <w:name w:val="Nadpis"/>
    <w:basedOn w:val="Normln"/>
    <w:next w:val="Zkladntext"/>
    <w:rsid w:val="00B041B7"/>
    <w:pPr>
      <w:keepNext/>
      <w:suppressAutoHyphens/>
      <w:spacing w:before="240" w:after="120" w:line="100" w:lineRule="atLeast"/>
      <w:jc w:val="both"/>
    </w:pPr>
    <w:rPr>
      <w:rFonts w:ascii="Arial" w:eastAsia="Microsoft YaHei" w:hAnsi="Arial" w:cs="Mangal"/>
      <w:kern w:val="1"/>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annotation reference" w:uiPriority="99"/>
    <w:lsdException w:name="Title" w:qFormat="1"/>
    <w:lsdException w:name="Body Text" w:uiPriority="99"/>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tabs>
        <w:tab w:val="num" w:pos="360"/>
      </w:tabs>
      <w:ind w:left="360" w:hanging="360"/>
      <w:outlineLvl w:val="0"/>
    </w:pPr>
    <w:rPr>
      <w:b/>
      <w:i/>
      <w:szCs w:val="40"/>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40" w:after="40"/>
      <w:outlineLvl w:val="2"/>
    </w:pPr>
    <w:rPr>
      <w:rFonts w:ascii="Garamond" w:hAnsi="Garamond" w:cs="Arial"/>
      <w:b/>
      <w:shadow/>
    </w:rPr>
  </w:style>
  <w:style w:type="paragraph" w:styleId="Nadpis5">
    <w:name w:val="heading 5"/>
    <w:basedOn w:val="Normln"/>
    <w:next w:val="Normln"/>
    <w:qFormat/>
    <w:pPr>
      <w:keepNext/>
      <w:keepLines/>
      <w:spacing w:before="120" w:after="120"/>
      <w:outlineLvl w:val="4"/>
    </w:pPr>
    <w:rPr>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u w:val="single"/>
    </w:rPr>
  </w:style>
  <w:style w:type="paragraph" w:styleId="Obsah1">
    <w:name w:val="toc 1"/>
    <w:basedOn w:val="Normln"/>
    <w:next w:val="Normln"/>
    <w:autoRedefine/>
    <w:semiHidden/>
    <w:pPr>
      <w:numPr>
        <w:numId w:val="3"/>
      </w:numPr>
    </w:pPr>
    <w:rPr>
      <w:b/>
      <w:bCs/>
    </w:rPr>
  </w:style>
  <w:style w:type="paragraph" w:styleId="Zkladntextodsazen">
    <w:name w:val="Body Text Indent"/>
    <w:basedOn w:val="Normln"/>
    <w:pPr>
      <w:ind w:left="360"/>
      <w:jc w:val="both"/>
    </w:pPr>
    <w:rPr>
      <w:sz w:val="22"/>
      <w:szCs w:val="22"/>
    </w:rPr>
  </w:style>
  <w:style w:type="paragraph" w:styleId="Zkladntextodsazen2">
    <w:name w:val="Body Text Indent 2"/>
    <w:basedOn w:val="Normln"/>
    <w:pPr>
      <w:spacing w:after="120"/>
      <w:ind w:left="360"/>
      <w:jc w:val="both"/>
    </w:pPr>
  </w:style>
  <w:style w:type="paragraph" w:styleId="Zkladntext">
    <w:name w:val="Body Text"/>
    <w:basedOn w:val="Normln"/>
    <w:link w:val="ZkladntextChar"/>
    <w:uiPriority w:val="99"/>
    <w:pPr>
      <w:jc w:val="both"/>
    </w:pPr>
    <w:rPr>
      <w:szCs w:val="22"/>
    </w:rPr>
  </w:style>
  <w:style w:type="paragraph" w:styleId="Textbubliny">
    <w:name w:val="Balloon Text"/>
    <w:basedOn w:val="Normln"/>
    <w:semiHidden/>
    <w:rPr>
      <w:rFonts w:ascii="Tahoma" w:hAnsi="Tahoma" w:cs="Tahoma"/>
      <w:sz w:val="16"/>
      <w:szCs w:val="16"/>
    </w:rPr>
  </w:style>
  <w:style w:type="character" w:styleId="Odkaznakoment">
    <w:name w:val="annotation reference"/>
    <w:uiPriority w:val="99"/>
    <w:semiHidden/>
    <w:rPr>
      <w:sz w:val="16"/>
      <w:szCs w:val="16"/>
    </w:rPr>
  </w:style>
  <w:style w:type="paragraph" w:styleId="Textpoznpodarou">
    <w:name w:val="footnote text"/>
    <w:basedOn w:val="Normln"/>
    <w:semiHidden/>
    <w:rPr>
      <w:sz w:val="20"/>
      <w:szCs w:val="20"/>
    </w:rPr>
  </w:style>
  <w:style w:type="character" w:styleId="Znakapoznpodarou">
    <w:name w:val="footnote reference"/>
    <w:uiPriority w:val="99"/>
    <w:semiHidden/>
    <w:rPr>
      <w:vertAlign w:val="superscript"/>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2">
    <w:name w:val="Body Text 2"/>
    <w:basedOn w:val="Normln"/>
    <w:pPr>
      <w:spacing w:after="120" w:line="480" w:lineRule="auto"/>
    </w:pPr>
  </w:style>
  <w:style w:type="paragraph" w:styleId="Textkomente">
    <w:name w:val="annotation text"/>
    <w:basedOn w:val="Normln"/>
    <w:link w:val="TextkomenteChar"/>
    <w:semiHidden/>
    <w:rPr>
      <w:sz w:val="20"/>
      <w:szCs w:val="20"/>
    </w:rPr>
  </w:style>
  <w:style w:type="paragraph" w:styleId="Pedmtkomente">
    <w:name w:val="annotation subject"/>
    <w:basedOn w:val="Textkomente"/>
    <w:next w:val="Textkomente"/>
    <w:semiHidden/>
    <w:rPr>
      <w:b/>
      <w:bCs/>
    </w:rPr>
  </w:style>
  <w:style w:type="paragraph" w:styleId="Prosttext">
    <w:name w:val="Plain Text"/>
    <w:basedOn w:val="Normln"/>
    <w:link w:val="ProsttextChar"/>
    <w:rsid w:val="002D2125"/>
    <w:rPr>
      <w:rFonts w:ascii="Courier New" w:hAnsi="Courier New" w:cs="Courier New"/>
      <w:sz w:val="20"/>
      <w:szCs w:val="20"/>
    </w:rPr>
  </w:style>
  <w:style w:type="character" w:customStyle="1" w:styleId="ProsttextChar">
    <w:name w:val="Prostý text Char"/>
    <w:link w:val="Prosttext"/>
    <w:rsid w:val="002D2125"/>
    <w:rPr>
      <w:rFonts w:ascii="Courier New" w:hAnsi="Courier New" w:cs="Courier New"/>
    </w:rPr>
  </w:style>
  <w:style w:type="paragraph" w:styleId="Normlnweb">
    <w:name w:val="Normal (Web)"/>
    <w:basedOn w:val="Normln"/>
    <w:rsid w:val="002D2125"/>
    <w:pPr>
      <w:spacing w:before="100" w:beforeAutospacing="1" w:after="100" w:afterAutospacing="1"/>
    </w:pPr>
  </w:style>
  <w:style w:type="paragraph" w:styleId="Odstavecseseznamem">
    <w:name w:val="List Paragraph"/>
    <w:basedOn w:val="Normln"/>
    <w:uiPriority w:val="34"/>
    <w:qFormat/>
    <w:rsid w:val="002D2125"/>
    <w:pPr>
      <w:ind w:left="708"/>
    </w:pPr>
  </w:style>
  <w:style w:type="character" w:customStyle="1" w:styleId="TextkomenteChar">
    <w:name w:val="Text komentáře Char"/>
    <w:link w:val="Textkomente"/>
    <w:semiHidden/>
    <w:rsid w:val="002D2125"/>
  </w:style>
  <w:style w:type="character" w:styleId="Siln">
    <w:name w:val="Strong"/>
    <w:uiPriority w:val="22"/>
    <w:qFormat/>
    <w:rsid w:val="00711B90"/>
    <w:rPr>
      <w:b/>
      <w:bCs/>
    </w:rPr>
  </w:style>
  <w:style w:type="character" w:customStyle="1" w:styleId="ZkladntextChar">
    <w:name w:val="Základní text Char"/>
    <w:link w:val="Zkladntext"/>
    <w:uiPriority w:val="99"/>
    <w:rsid w:val="007D5937"/>
    <w:rPr>
      <w:sz w:val="24"/>
      <w:szCs w:val="22"/>
    </w:rPr>
  </w:style>
  <w:style w:type="paragraph" w:styleId="Obsah7">
    <w:name w:val="toc 7"/>
    <w:basedOn w:val="Normln"/>
    <w:next w:val="Normln"/>
    <w:autoRedefine/>
    <w:rsid w:val="006D414B"/>
    <w:pPr>
      <w:ind w:left="1440"/>
    </w:pPr>
  </w:style>
  <w:style w:type="paragraph" w:styleId="Revize">
    <w:name w:val="Revision"/>
    <w:hidden/>
    <w:uiPriority w:val="99"/>
    <w:semiHidden/>
    <w:rsid w:val="00AB2FC2"/>
    <w:rPr>
      <w:sz w:val="24"/>
      <w:szCs w:val="24"/>
    </w:rPr>
  </w:style>
  <w:style w:type="paragraph" w:customStyle="1" w:styleId="Nadpis">
    <w:name w:val="Nadpis"/>
    <w:basedOn w:val="Normln"/>
    <w:next w:val="Zkladntext"/>
    <w:rsid w:val="00B041B7"/>
    <w:pPr>
      <w:keepNext/>
      <w:suppressAutoHyphens/>
      <w:spacing w:before="240" w:after="120" w:line="100" w:lineRule="atLeast"/>
      <w:jc w:val="both"/>
    </w:pPr>
    <w:rPr>
      <w:rFonts w:ascii="Arial" w:eastAsia="Microsoft YaHei" w:hAnsi="Arial" w:cs="Mang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766911">
      <w:bodyDiv w:val="1"/>
      <w:marLeft w:val="0"/>
      <w:marRight w:val="0"/>
      <w:marTop w:val="0"/>
      <w:marBottom w:val="0"/>
      <w:divBdr>
        <w:top w:val="none" w:sz="0" w:space="0" w:color="auto"/>
        <w:left w:val="none" w:sz="0" w:space="0" w:color="auto"/>
        <w:bottom w:val="none" w:sz="0" w:space="0" w:color="auto"/>
        <w:right w:val="none" w:sz="0" w:space="0" w:color="auto"/>
      </w:divBdr>
    </w:div>
    <w:div w:id="87165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qUN7M2qgZbLw6SujesTsB0zM1KU=</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uuDCa69k28kASmQJz4OzNFL55WA=</DigestValue>
    </Reference>
  </SignedInfo>
  <SignatureValue>JomNg/ex6jYeJ3Kd6qyPsCt1CuKmxRzsl59/pvz+J/EwYpznDKvM4Zh3Upqyz0z1RHLZGZZ/iGND
MhpEsnvT+BZCBsT7He6smi3ozEUka9m9vI0L7EKa+4tJn4qvAi+dTqxsVmALAx/Qud0s0nryVRRC
LXZdS1YFaCJSmO4PPW+tCVO4jlhHW8w4VS/Agbh4uKMf01OxMRQGTvmGuji75ajmx8TbQ+0lqofE
V7ENvkEqHODfvP+sMRbDpHtCv/1umSWMHddjluOOXcxqPmz8c4/zCbeKsVzpCLHmgbxUddN4oVll
vpB7JmwoZfMMS0+EQPUSKGfJl7O9S2Ao2tzFUw==</SignatureValue>
  <KeyInfo>
    <X509Data>
      <X509Certificate>MIIEmzCCA4OgAwIBAgIDHfnzMA0GCSqGSIb3DQEBCwUAMIGrMQswCQYDVQQGEwJDWjE5MDcGA1UE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</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bH/O7fnr3ZW9hVpBBT9ClpVcD2k=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5CHFoR9SIcwxrFBUJYzGjOwEd78=</DigestValue>
      </Reference>
      <Reference URI="/word/numbering.xml?ContentType=application/vnd.openxmlformats-officedocument.wordprocessingml.numbering+xml">
        <DigestMethod Algorithm="http://www.w3.org/2000/09/xmldsig#sha1"/>
        <DigestValue>SK4KGLzMzFfzVNrD4nJJaCywPKo=</DigestValue>
      </Reference>
      <Reference URI="/word/styles.xml?ContentType=application/vnd.openxmlformats-officedocument.wordprocessingml.styles+xml">
        <DigestMethod Algorithm="http://www.w3.org/2000/09/xmldsig#sha1"/>
        <DigestValue>Mu+JFiri2V2Vgxk5SD1o2S9oA88=</DigestValue>
      </Reference>
      <Reference URI="/word/fontTable.xml?ContentType=application/vnd.openxmlformats-officedocument.wordprocessingml.fontTable+xml">
        <DigestMethod Algorithm="http://www.w3.org/2000/09/xmldsig#sha1"/>
        <DigestValue>bQjQCYp83XMdxfrTEWjqFTg/8hQ=</DigestValue>
      </Reference>
      <Reference URI="/word/footer2.xml?ContentType=application/vnd.openxmlformats-officedocument.wordprocessingml.footer+xml">
        <DigestMethod Algorithm="http://www.w3.org/2000/09/xmldsig#sha1"/>
        <DigestValue>qZJ5woIKlj3HM4QqpSyj0xTtrys=</DigestValue>
      </Reference>
      <Reference URI="/word/footnotes.xml?ContentType=application/vnd.openxmlformats-officedocument.wordprocessingml.footnotes+xml">
        <DigestMethod Algorithm="http://www.w3.org/2000/09/xmldsig#sha1"/>
        <DigestValue>QrUdhoSCKgJQLt7Z5R0NUYrfA+E=</DigestValue>
      </Reference>
      <Reference URI="/word/endnotes.xml?ContentType=application/vnd.openxmlformats-officedocument.wordprocessingml.endnotes+xml">
        <DigestMethod Algorithm="http://www.w3.org/2000/09/xmldsig#sha1"/>
        <DigestValue>R++hPb+ndQ1yh+FowTndaU1Q9wY=</DigestValue>
      </Reference>
      <Reference URI="/word/document.xml?ContentType=application/vnd.openxmlformats-officedocument.wordprocessingml.document.main+xml">
        <DigestMethod Algorithm="http://www.w3.org/2000/09/xmldsig#sha1"/>
        <DigestValue>9CU9gRZUNDOawnHoo40/ol84p60=</DigestValue>
      </Reference>
      <Reference URI="/word/stylesWithEffects.xml?ContentType=application/vnd.ms-word.stylesWithEffects+xml">
        <DigestMethod Algorithm="http://www.w3.org/2000/09/xmldsig#sha1"/>
        <DigestValue>5nOjUuT6JyHJgWulEmCVPtQFpNU=</DigestValue>
      </Reference>
      <Reference URI="/word/header2.xml?ContentType=application/vnd.openxmlformats-officedocument.wordprocessingml.header+xml">
        <DigestMethod Algorithm="http://www.w3.org/2000/09/xmldsig#sha1"/>
        <DigestValue>lSFU0BmpD5lyQfQDqihesCU7/BQ=</DigestValue>
      </Reference>
      <Reference URI="/word/header1.xml?ContentType=application/vnd.openxmlformats-officedocument.wordprocessingml.header+xml">
        <DigestMethod Algorithm="http://www.w3.org/2000/09/xmldsig#sha1"/>
        <DigestValue>8/JcGkwLhTYu2qqU5UYAmUzRaBk=</DigestValue>
      </Reference>
      <Reference URI="/word/footer1.xml?ContentType=application/vnd.openxmlformats-officedocument.wordprocessingml.footer+xml">
        <DigestMethod Algorithm="http://www.w3.org/2000/09/xmldsig#sha1"/>
        <DigestValue>7a5BEYbnfDR5nHsJ6wyTpLDU/xI=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mN00wG8tmJxb0cbKVX04cS2bDB8=</DigestValue>
      </Reference>
    </Manifest>
    <SignatureProperties>
      <SignatureProperty Id="idSignatureTime" Target="#idPackageSignature">
        <mdssi:SignatureTime>
          <mdssi:Format>YYYY-MM-DDThh:mm:ssTZD</mdssi:Format>
          <mdssi:Value>2014-12-02T10:24:08Z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2014-12-02T10:24:08Z</xd:SigningTime>
          <xd:SigningCertificate>
            <xd:Cert>
              <xd:CertDigest>
                <DigestMethod Algorithm="http://www.w3.org/2000/09/xmldsig#sha1"/>
                <DigestValue>o/ZLan/YhG2NGhOA6Ig39m/Zm9s=</DigestValue>
              </xd:CertDigest>
              <xd:IssuerSerial>
                <X509IssuerName>OU=I.CA - Provider of Certification Services, O="První certifikační autorita, a.s.", CN="I.CA - Standard Certification Authority, 09/2009", C=CZ</X509IssuerName>
                <X509SerialNumber>1964531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933A9-6C04-4DE5-ADB1-6A90CB24D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2523</Words>
  <Characters>16379</Characters>
  <Application>Microsoft Office Word</Application>
  <DocSecurity>0</DocSecurity>
  <Lines>136</Lines>
  <Paragraphs>37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18865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2014-12-02T10:21:00Z</dcterms:created>
  <dcterms:modified xsi:type="dcterms:W3CDTF">2014-12-02T10:24:00Z</dcterms:modified>
</cp:coreProperties>
</file>