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E54136">
        <w:rPr>
          <w:rFonts w:ascii="Arial" w:hAnsi="Arial" w:cs="Arial"/>
          <w:b/>
          <w:bCs/>
          <w:color w:val="FFFFFF"/>
          <w:sz w:val="32"/>
          <w:szCs w:val="32"/>
          <w:lang w:val="en-US"/>
        </w:rPr>
        <w:t>Integrovaná</w:t>
      </w:r>
      <w:proofErr w:type="spellEnd"/>
      <w:r w:rsidR="00E54136">
        <w:rPr>
          <w:rFonts w:ascii="Arial" w:hAnsi="Arial" w:cs="Arial"/>
          <w:b/>
          <w:bCs/>
          <w:color w:val="FFFFFF"/>
          <w:sz w:val="32"/>
          <w:szCs w:val="32"/>
          <w:lang w:val="en-US"/>
        </w:rPr>
        <w:t xml:space="preserve"> </w:t>
      </w:r>
      <w:proofErr w:type="spellStart"/>
      <w:r w:rsidR="00E54136">
        <w:rPr>
          <w:rFonts w:ascii="Arial" w:hAnsi="Arial" w:cs="Arial"/>
          <w:b/>
          <w:bCs/>
          <w:color w:val="FFFFFF"/>
          <w:sz w:val="32"/>
          <w:szCs w:val="32"/>
          <w:lang w:val="en-US"/>
        </w:rPr>
        <w:t>podpůrná</w:t>
      </w:r>
      <w:proofErr w:type="spellEnd"/>
      <w:r w:rsidR="00E54136">
        <w:rPr>
          <w:rFonts w:ascii="Arial" w:hAnsi="Arial" w:cs="Arial"/>
          <w:b/>
          <w:bCs/>
          <w:color w:val="FFFFFF"/>
          <w:sz w:val="32"/>
          <w:szCs w:val="32"/>
          <w:lang w:val="en-US"/>
        </w:rPr>
        <w:t xml:space="preserve"> a </w:t>
      </w:r>
      <w:proofErr w:type="spellStart"/>
      <w:r w:rsidR="00E54136">
        <w:rPr>
          <w:rFonts w:ascii="Arial" w:hAnsi="Arial" w:cs="Arial"/>
          <w:b/>
          <w:bCs/>
          <w:color w:val="FFFFFF"/>
          <w:sz w:val="32"/>
          <w:szCs w:val="32"/>
          <w:lang w:val="en-US"/>
        </w:rPr>
        <w:t>provozní</w:t>
      </w:r>
      <w:proofErr w:type="spellEnd"/>
      <w:r w:rsidR="00E54136">
        <w:rPr>
          <w:rFonts w:ascii="Arial" w:hAnsi="Arial" w:cs="Arial"/>
          <w:b/>
          <w:bCs/>
          <w:color w:val="FFFFFF"/>
          <w:sz w:val="32"/>
          <w:szCs w:val="32"/>
          <w:lang w:val="en-US"/>
        </w:rPr>
        <w:t xml:space="preserve"> data</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6D2018">
        <w:rPr>
          <w:rFonts w:ascii="Arial" w:hAnsi="Arial" w:cs="Arial"/>
          <w:b/>
          <w:sz w:val="26"/>
          <w:szCs w:val="26"/>
          <w:lang w:eastAsia="en-US" w:bidi="en-US"/>
        </w:rPr>
        <w:t>III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6D2018">
        <w:rPr>
          <w:rFonts w:ascii="Arial" w:hAnsi="Arial" w:cs="Arial"/>
          <w:sz w:val="20"/>
          <w:szCs w:val="20"/>
          <w:lang w:eastAsia="en-US" w:bidi="en-US"/>
        </w:rPr>
        <w:t xml:space="preserve">15. 1. 2015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262849" w:rsidRPr="00040199" w:rsidRDefault="00262849" w:rsidP="00262849">
      <w:pPr>
        <w:spacing w:line="320" w:lineRule="atLeast"/>
        <w:jc w:val="both"/>
        <w:rPr>
          <w:rFonts w:ascii="Arial" w:hAnsi="Arial" w:cs="Arial"/>
          <w:b/>
          <w:sz w:val="20"/>
          <w:szCs w:val="20"/>
        </w:rPr>
      </w:pPr>
    </w:p>
    <w:p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 V příloze 6 – Funkční a technické požadavky je uvedeno členění architektury Jednotného informačního systému práce a sociálních věcí (JISPSV) na následující moduly: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 Oblast pro podporu výkonu agend v oblasti zaměstnanosti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 Oblast pro podporu agend v oblasti dávek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 Oblast podpůrných a provozních činností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 Oblast integrace a provozu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Dle uvedeného zadání jsou klíčovými závislosti mezi moduly </w:t>
      </w:r>
      <w:r w:rsidRPr="006D2018">
        <w:rPr>
          <w:rFonts w:ascii="Arial" w:hAnsi="Arial" w:cs="Arial"/>
          <w:b/>
          <w:bCs/>
          <w:sz w:val="20"/>
          <w:szCs w:val="20"/>
          <w:lang w:eastAsia="en-US" w:bidi="en-US"/>
        </w:rPr>
        <w:t xml:space="preserve">vazby na společné evidence řešené v kontextu oblasti podpory </w:t>
      </w:r>
      <w:r w:rsidRPr="006D2018">
        <w:rPr>
          <w:rFonts w:ascii="Arial" w:hAnsi="Arial" w:cs="Arial"/>
          <w:sz w:val="20"/>
          <w:szCs w:val="20"/>
          <w:lang w:eastAsia="en-US" w:bidi="en-US"/>
        </w:rPr>
        <w:t xml:space="preserve">(Oblast podpůrných a provozních činností).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Oblast podpůrných a průřezových činností obsahuje tzv. Průřezové agendy zahrnující mimo jiné i agendu „Ekonomický systém a podpora výplat“. Součástí agendy má být ekonomický informační systém (EKIS), jednotné výplatní místo (JVM), evidence všech dávek a </w:t>
      </w:r>
      <w:r w:rsidRPr="006D2018">
        <w:rPr>
          <w:rFonts w:ascii="Arial" w:hAnsi="Arial" w:cs="Arial"/>
          <w:b/>
          <w:bCs/>
          <w:sz w:val="20"/>
          <w:szCs w:val="20"/>
          <w:lang w:eastAsia="en-US" w:bidi="en-US"/>
        </w:rPr>
        <w:t>podpora výplat</w:t>
      </w:r>
      <w:r w:rsidRPr="006D2018">
        <w:rPr>
          <w:rFonts w:ascii="Arial" w:hAnsi="Arial" w:cs="Arial"/>
          <w:sz w:val="20"/>
          <w:szCs w:val="20"/>
          <w:lang w:eastAsia="en-US" w:bidi="en-US"/>
        </w:rPr>
        <w:t xml:space="preserve">.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Dle Dodatečných informací k zadávacím podmínkám č. I je k dotazu č. 13 uvedeno, že realizace této agendy není předmětem VZ „JISPSV – Integrovaná podpůrná a provozní data“. Veškerý popis této pro provoz důležité součásti je shrnut do jednoho odstavce v Příloze 6 – Funkční a technické požadavky.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Pro správné a úplné ohodnocení VZ je nutné více specifikovat úlohu těchto průřezových agend, jeho postavení v rámci ostatních agend JISPSV.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I. Žádáme o upřesnění funkce agendy ekonomického informačního systému (EKIS). Co je jeho úlohou? Jaké vstupy do systému vedou a odkud? Jaké jsou výstupy z tohoto systému a kam vedou? Komunikují napřímo s tímto systémem agendy z oblasti Zaměstnanosti a Dávek?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II. Žádáme o upřesnění funkce agendy jednotného výplatního místa (JVM). Co je jeho úlohou? Jaké vstupy do systému vedou a odkud? Jaké jsou výstupy z tohoto systému a kam vedou? Komunikují napřímo s tímto systémem agendy z oblasti Zaměstnanosti a Dávek?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III. V čem konkrétně spočívá „podpora výplat“ uvedená v popisu systému?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IV. Je součástí VZ „JISPSV – Integrovaná podpůrná a provozní data“ nějaká forma podpory procesu zpracování výplat? Procesem zpracování výplat se rozumí zejména výběr vhodných kandidátů na výplatu dle nastavených výplatních termínů nebo intervalu vyplacení, sumování výplat jednoho klienta, kontrola přípustnosti výplaty, zpracování srážek (pohledávek, exekucí, zákonných odvodů) z vyplácených plateb, předání finálních výsledku výplaty do EKIS/JVM, … </w:t>
      </w:r>
    </w:p>
    <w:p w:rsidR="009E78D9" w:rsidRPr="00040199"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176F22" w:rsidRDefault="00176F22" w:rsidP="00176F2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K bodům I, II a III dotazu Uchazeče: Zadavatel upozorňuje Uchazeče, že informace uvedené v kapitole 1 přílohy č. 6 zadávací dokumentace poskytují základní informace o architektonickém rámci nově budovaného JISPSV. Tyto informace netvoří soubor požadavků kladených na poptávané systémy. V uvedeném kontextu Zadavatel považuje požadované dotazy za irelevantní pro přípravu </w:t>
      </w:r>
      <w:r>
        <w:rPr>
          <w:rFonts w:ascii="Arial" w:hAnsi="Arial" w:cs="Arial"/>
          <w:sz w:val="20"/>
          <w:szCs w:val="20"/>
          <w:lang w:eastAsia="en-US" w:bidi="en-US"/>
        </w:rPr>
        <w:lastRenderedPageBreak/>
        <w:t>nabídky a požaduje po uchazeči zpracovat nabídku řešení v souladu s požadavky uvedenými v kapitole 2 přílohy č. 6 zadávací dokumentace.</w:t>
      </w:r>
    </w:p>
    <w:p w:rsidR="00176F22" w:rsidRPr="00040199" w:rsidRDefault="00176F22" w:rsidP="00176F22">
      <w:pPr>
        <w:spacing w:before="120" w:after="120" w:line="320" w:lineRule="atLeast"/>
        <w:jc w:val="both"/>
        <w:rPr>
          <w:rFonts w:ascii="Arial" w:hAnsi="Arial" w:cs="Arial"/>
          <w:sz w:val="20"/>
          <w:szCs w:val="20"/>
        </w:rPr>
      </w:pPr>
      <w:r>
        <w:rPr>
          <w:rFonts w:ascii="Arial" w:hAnsi="Arial" w:cs="Arial"/>
          <w:sz w:val="20"/>
          <w:szCs w:val="20"/>
          <w:lang w:eastAsia="en-US" w:bidi="en-US"/>
        </w:rPr>
        <w:t>K bodu IV dotazu uchazeče. Požadovaná funkcionalita související s výplatami je předmětem řady požadavků jako jsou například POD0078, POD0230 či POD0237.</w:t>
      </w:r>
    </w:p>
    <w:p w:rsidR="00176F22" w:rsidRDefault="00176F22" w:rsidP="006D2018">
      <w:pPr>
        <w:keepNext/>
        <w:spacing w:before="120" w:after="120" w:line="320" w:lineRule="atLeast"/>
        <w:jc w:val="both"/>
        <w:rPr>
          <w:rFonts w:ascii="Arial" w:hAnsi="Arial" w:cs="Arial"/>
          <w:b/>
          <w:sz w:val="20"/>
          <w:szCs w:val="20"/>
        </w:rPr>
      </w:pPr>
    </w:p>
    <w:p w:rsidR="00074B09" w:rsidRPr="00040199" w:rsidRDefault="009E78D9" w:rsidP="006D2018">
      <w:pPr>
        <w:keepNext/>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rsidR="006D2018" w:rsidRPr="006D2018" w:rsidRDefault="006D2018" w:rsidP="006D2018">
      <w:pPr>
        <w:keepNext/>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V dokumentu Kvalifikační dokumentace Jednotný informační systém práce a sociálních věcí – Integrovaná podpůrná a provozní data jsou specifikovány požadavky na pozici Projektového manažera v rámci realizačního týmu, resp. certifikace „Prince 2, IPMA a obdobná“. </w:t>
      </w:r>
    </w:p>
    <w:p w:rsidR="00A26581" w:rsidRPr="00040199" w:rsidRDefault="006D2018" w:rsidP="006D2018">
      <w:pPr>
        <w:spacing w:before="120" w:after="120" w:line="320" w:lineRule="atLeast"/>
        <w:jc w:val="both"/>
        <w:rPr>
          <w:rFonts w:ascii="Arial" w:hAnsi="Arial" w:cs="Arial"/>
          <w:sz w:val="20"/>
          <w:szCs w:val="20"/>
          <w:u w:val="single"/>
        </w:rPr>
      </w:pPr>
      <w:r w:rsidRPr="006D2018">
        <w:rPr>
          <w:rFonts w:ascii="Arial" w:hAnsi="Arial" w:cs="Arial"/>
          <w:sz w:val="20"/>
          <w:szCs w:val="20"/>
          <w:lang w:eastAsia="en-US" w:bidi="en-US"/>
        </w:rPr>
        <w:t>Dotaz: Uzná zadavatel také pro pozici Projektového manažera certifikaci PMP?</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1C0687" w:rsidRPr="003B1D19" w:rsidRDefault="001C0687" w:rsidP="009E78D9">
      <w:pPr>
        <w:spacing w:before="120" w:after="120" w:line="320" w:lineRule="atLeast"/>
        <w:jc w:val="both"/>
        <w:rPr>
          <w:rFonts w:ascii="Arial" w:hAnsi="Arial" w:cs="Arial"/>
          <w:sz w:val="20"/>
          <w:szCs w:val="20"/>
        </w:rPr>
      </w:pPr>
      <w:r>
        <w:rPr>
          <w:rFonts w:ascii="Arial" w:hAnsi="Arial" w:cs="Arial"/>
          <w:sz w:val="20"/>
          <w:szCs w:val="20"/>
        </w:rPr>
        <w:t>Zadavatel uvádí, že v požadavcích na certifikaci projektového manažera uvedl pouze demonstrativní výčet certifikací, kterými lze prokázat splnění příslušného požadavku na zkušenosti a znalosti člena realizačního týmu v roli Projektový manažer, což vyjadřuje pojem „</w:t>
      </w:r>
      <w:r w:rsidRPr="001C0687">
        <w:rPr>
          <w:rFonts w:ascii="Arial" w:hAnsi="Arial" w:cs="Arial"/>
          <w:i/>
          <w:sz w:val="20"/>
          <w:szCs w:val="20"/>
        </w:rPr>
        <w:t>a obdobná</w:t>
      </w:r>
      <w:r>
        <w:rPr>
          <w:rFonts w:ascii="Arial" w:hAnsi="Arial" w:cs="Arial"/>
          <w:sz w:val="20"/>
          <w:szCs w:val="20"/>
        </w:rPr>
        <w:t>“. Záleží proto na posouzení předloženého certifikátu v rámci posuzování kvalifikace in concreto, zda jej lze považovat za obdobný s certifikáty Prince 2 a IPMA. Zadavatel certifikaci PMP považuje za certifikaci obdobnou</w:t>
      </w:r>
      <w:r w:rsidRPr="001C0687">
        <w:rPr>
          <w:rFonts w:ascii="Arial" w:hAnsi="Arial" w:cs="Arial"/>
          <w:sz w:val="20"/>
          <w:szCs w:val="20"/>
        </w:rPr>
        <w:t xml:space="preserve"> </w:t>
      </w:r>
      <w:r>
        <w:rPr>
          <w:rFonts w:ascii="Arial" w:hAnsi="Arial" w:cs="Arial"/>
          <w:sz w:val="20"/>
          <w:szCs w:val="20"/>
        </w:rPr>
        <w:t>s certifikáty Prince 2 a IPMA.</w:t>
      </w:r>
    </w:p>
    <w:p w:rsidR="003B1D19" w:rsidRPr="00040199" w:rsidRDefault="003B1D19" w:rsidP="009E78D9">
      <w:pPr>
        <w:spacing w:before="120" w:after="120" w:line="320" w:lineRule="atLeast"/>
        <w:jc w:val="both"/>
        <w:rPr>
          <w:rFonts w:ascii="Arial" w:hAnsi="Arial" w:cs="Arial"/>
          <w:b/>
          <w:sz w:val="20"/>
          <w:szCs w:val="20"/>
        </w:rPr>
      </w:pPr>
    </w:p>
    <w:p w:rsidR="00074B09" w:rsidRPr="00040199" w:rsidRDefault="009E78D9" w:rsidP="009E78D9">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V dokumentu Závazného vzoru Smlouvy projektu Jednotný informační systém práce a sociálních věcí – Integrovaná podpůrná a provozní data je v čl. 7, odst. 7.8 odkazováno na maximální rozsah služeb rozvoje systému: „V případě, že byl dosažen maximální rozsah Rozvoje podle této Smlouvy, nebo pokud by realizací Zadání změnového požadavku byl tento rozsah překročen, je Poskytovatel povinen Zadání změnového požadavku odmítnout, a je povinen o tom Objednatele nejpozději do 5 pracovních dnů písemně informovat.“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Dotaz: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V textaci smlouvy není nijak „maximální rozsah Rozvoje“ specifikován, ani z textace nevyplývá formou odkazu na přílohu přesná definice „maximálního rozsahu Rozvoje“.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Je ze strany Zadavatele „maximální rozsah Rozvoje“ specifikován v dokumentu Tabulka pro stanovení nabídkové ceny, v položce 3.2 „Celkem cena za 1160 člověkodní rozvoje“? Čili maximální rozsah rozvoje je roven 1160 ČD? </w:t>
      </w:r>
    </w:p>
    <w:p w:rsidR="00A26581" w:rsidRPr="00040199" w:rsidRDefault="006D2018" w:rsidP="006D2018">
      <w:pPr>
        <w:spacing w:before="120" w:after="120" w:line="320" w:lineRule="atLeast"/>
        <w:jc w:val="both"/>
        <w:rPr>
          <w:rFonts w:ascii="Arial" w:hAnsi="Arial" w:cs="Arial"/>
          <w:sz w:val="20"/>
          <w:szCs w:val="20"/>
          <w:u w:val="single"/>
        </w:rPr>
      </w:pPr>
      <w:r w:rsidRPr="006D2018">
        <w:rPr>
          <w:rFonts w:ascii="Arial" w:hAnsi="Arial" w:cs="Arial"/>
          <w:sz w:val="20"/>
          <w:szCs w:val="20"/>
          <w:lang w:eastAsia="en-US" w:bidi="en-US"/>
        </w:rPr>
        <w:t>Je možné ze strany Zadavatele v textu Závazného vzoru smlouvy s odkazem na dokument Tabulka pro stanovení nabídkové ceny maximální rozsah Rozvoje přesněji definovat, tak aby se předešlo k právním nejasnostem ohledně Předmětu plnění?</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8D711F" w:rsidRDefault="008D711F" w:rsidP="008D711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k tomuto uvádí, že za maximální rozsah Rozvoje se považuje rozsah uvedený v položce 3.2 tabulky č. 1 přílohy č. 7 zadávací dokumentace – Tabulkách pro stanovení nabídkové ceny, tj. 1160 člověkodní.</w:t>
      </w:r>
    </w:p>
    <w:p w:rsidR="00074B09" w:rsidRDefault="008D711F" w:rsidP="00176F2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lastRenderedPageBreak/>
        <w:t xml:space="preserve">Zadavatel nepovažuje za potřebné tento údaj dále doplňovat do návrhu smlouvy, neboť výše uvedená tabulka č. 1 přílohy č. 7 zadávací dokumentace se stane jakožto příloha č. 6 součástí smlouvy. </w:t>
      </w:r>
    </w:p>
    <w:p w:rsidR="00040199" w:rsidRPr="00040199" w:rsidRDefault="00040199" w:rsidP="009E78D9">
      <w:pPr>
        <w:spacing w:before="120" w:after="120" w:line="320" w:lineRule="atLeast"/>
        <w:jc w:val="both"/>
        <w:rPr>
          <w:rFonts w:ascii="Arial" w:hAnsi="Arial" w:cs="Arial"/>
          <w:b/>
          <w:sz w:val="20"/>
          <w:szCs w:val="20"/>
        </w:rPr>
      </w:pPr>
    </w:p>
    <w:p w:rsidR="00074B09" w:rsidRPr="00040199" w:rsidRDefault="009E78D9" w:rsidP="009E78D9">
      <w:pPr>
        <w:spacing w:before="120" w:after="120" w:line="320" w:lineRule="atLeast"/>
        <w:jc w:val="both"/>
        <w:rPr>
          <w:rFonts w:ascii="Arial" w:hAnsi="Arial" w:cs="Arial"/>
          <w:sz w:val="20"/>
          <w:szCs w:val="20"/>
        </w:rPr>
      </w:pPr>
      <w:r w:rsidRPr="00040199">
        <w:rPr>
          <w:rFonts w:ascii="Arial" w:hAnsi="Arial" w:cs="Arial"/>
          <w:b/>
          <w:sz w:val="20"/>
          <w:szCs w:val="20"/>
        </w:rPr>
        <w:t>Dotaz č. 4:</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b/>
          <w:bCs/>
          <w:sz w:val="20"/>
          <w:szCs w:val="20"/>
          <w:lang w:eastAsia="en-US" w:bidi="en-US"/>
        </w:rPr>
        <w:t xml:space="preserve">AR014 Export/import dat: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i/>
          <w:iCs/>
          <w:sz w:val="20"/>
          <w:szCs w:val="20"/>
          <w:lang w:eastAsia="en-US" w:bidi="en-US"/>
        </w:rPr>
        <w:t xml:space="preserve">…Systém bude podporovat minimálně výstupní exportní formáty CSV, PDF, XML, kde pro XML bude uchazečem vytvořen odpovídající DTD. Vstupní formáty budou CSV a XML s uchazečem definovaným DTD.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Ale v požadavku </w:t>
      </w:r>
      <w:r w:rsidRPr="006D2018">
        <w:rPr>
          <w:rFonts w:ascii="Arial" w:hAnsi="Arial" w:cs="Arial"/>
          <w:b/>
          <w:bCs/>
          <w:sz w:val="20"/>
          <w:szCs w:val="20"/>
          <w:lang w:eastAsia="en-US" w:bidi="en-US"/>
        </w:rPr>
        <w:t xml:space="preserve">INT005 Kontroly XML </w:t>
      </w:r>
      <w:r w:rsidRPr="006D2018">
        <w:rPr>
          <w:rFonts w:ascii="Arial" w:hAnsi="Arial" w:cs="Arial"/>
          <w:sz w:val="20"/>
          <w:szCs w:val="20"/>
          <w:lang w:eastAsia="en-US" w:bidi="en-US"/>
        </w:rPr>
        <w:t xml:space="preserve">se uvádí: </w:t>
      </w:r>
    </w:p>
    <w:p w:rsidR="006D2018" w:rsidRPr="006D2018" w:rsidRDefault="006D2018" w:rsidP="006D2018">
      <w:pPr>
        <w:spacing w:before="120" w:after="120" w:line="320" w:lineRule="atLeast"/>
        <w:jc w:val="both"/>
        <w:rPr>
          <w:rFonts w:ascii="Arial" w:hAnsi="Arial" w:cs="Arial"/>
          <w:sz w:val="20"/>
          <w:szCs w:val="20"/>
          <w:lang w:eastAsia="en-US" w:bidi="en-US"/>
        </w:rPr>
      </w:pPr>
      <w:r w:rsidRPr="006D2018">
        <w:rPr>
          <w:rFonts w:ascii="Arial" w:hAnsi="Arial" w:cs="Arial"/>
          <w:i/>
          <w:iCs/>
          <w:sz w:val="20"/>
          <w:szCs w:val="20"/>
          <w:lang w:eastAsia="en-US" w:bidi="en-US"/>
        </w:rPr>
        <w:t xml:space="preserve">Systém musí v rámci integračních vazeb validovat příchozí XML zprávy prostřednictvím XSD schémat. </w:t>
      </w:r>
    </w:p>
    <w:p w:rsidR="006D2018" w:rsidRPr="006D2018" w:rsidRDefault="006D2018" w:rsidP="00D46CC0">
      <w:pPr>
        <w:keepNext/>
        <w:spacing w:before="120" w:after="120" w:line="320" w:lineRule="atLeast"/>
        <w:jc w:val="both"/>
        <w:rPr>
          <w:rFonts w:ascii="Arial" w:hAnsi="Arial" w:cs="Arial"/>
          <w:sz w:val="20"/>
          <w:szCs w:val="20"/>
          <w:lang w:eastAsia="en-US" w:bidi="en-US"/>
        </w:rPr>
      </w:pPr>
      <w:r w:rsidRPr="006D2018">
        <w:rPr>
          <w:rFonts w:ascii="Arial" w:hAnsi="Arial" w:cs="Arial"/>
          <w:sz w:val="20"/>
          <w:szCs w:val="20"/>
          <w:lang w:eastAsia="en-US" w:bidi="en-US"/>
        </w:rPr>
        <w:t xml:space="preserve">Dotaz: </w:t>
      </w:r>
    </w:p>
    <w:p w:rsidR="00A26581" w:rsidRPr="00040199" w:rsidRDefault="006D2018" w:rsidP="00D46CC0">
      <w:pPr>
        <w:keepNext/>
        <w:spacing w:before="120" w:after="120" w:line="320" w:lineRule="atLeast"/>
        <w:jc w:val="both"/>
        <w:rPr>
          <w:rFonts w:ascii="Arial" w:hAnsi="Arial" w:cs="Arial"/>
          <w:sz w:val="20"/>
          <w:szCs w:val="20"/>
          <w:u w:val="single"/>
        </w:rPr>
      </w:pPr>
      <w:r w:rsidRPr="006D2018">
        <w:rPr>
          <w:rFonts w:ascii="Arial" w:hAnsi="Arial" w:cs="Arial"/>
          <w:sz w:val="20"/>
          <w:szCs w:val="20"/>
          <w:lang w:eastAsia="en-US" w:bidi="en-US"/>
        </w:rPr>
        <w:t>Validace XML ve formátu XSD pokrývá všechny možnosti, které poskytuje DTD. Je kromě toho širší a modernější. Od definice XML pomocí DTD se postupně upouští. Mohou Uchazeči předpokládat, že formáty XML vstupů a výstupů se budou definovat vždy v XSD?</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176F22" w:rsidRDefault="00176F22" w:rsidP="00176F2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Požadavek AR014 mluví o minimálních požadavcích na exportní formáty, tedy DTD je minimální schéma, které musí být Uchazečem vytvořeno pro předání na integraci pomocí XML s dalšími systémy. Příchozí XML zprávy do systému by měly být z integrační sběrnice (ESB), která je zprostředkovává, a měly by mít implementátorem ESB definované schéma XSD. Po implementátoru ESB je požadována aktivní role, tedy vytváření odpovídajících XSD schémat. </w:t>
      </w:r>
    </w:p>
    <w:p w:rsidR="00FF0538" w:rsidRPr="00040199" w:rsidRDefault="00FF0538" w:rsidP="00DF2FD1">
      <w:pPr>
        <w:rPr>
          <w:rFonts w:ascii="Arial" w:hAnsi="Arial" w:cs="Arial"/>
          <w:sz w:val="20"/>
          <w:szCs w:val="20"/>
        </w:rPr>
      </w:pPr>
    </w:p>
    <w:p w:rsidR="00031131" w:rsidRPr="00040199" w:rsidRDefault="00031131" w:rsidP="00A31705">
      <w:pPr>
        <w:rPr>
          <w:rFonts w:ascii="Arial" w:hAnsi="Arial" w:cs="Arial"/>
          <w:sz w:val="20"/>
          <w:szCs w:val="20"/>
        </w:rPr>
      </w:pPr>
    </w:p>
    <w:p w:rsidR="00031131" w:rsidRPr="00040199" w:rsidRDefault="00031131" w:rsidP="00A31705">
      <w:pPr>
        <w:rPr>
          <w:rFonts w:ascii="Arial" w:hAnsi="Arial" w:cs="Arial"/>
          <w:sz w:val="20"/>
          <w:szCs w:val="20"/>
        </w:rPr>
      </w:pPr>
    </w:p>
    <w:p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C92F60">
        <w:rPr>
          <w:rFonts w:ascii="Arial" w:hAnsi="Arial" w:cs="Arial"/>
          <w:sz w:val="20"/>
          <w:szCs w:val="20"/>
          <w:lang w:eastAsia="en-US" w:bidi="en-US"/>
        </w:rPr>
        <w:t>21. 1. 2015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0A2" w:rsidRDefault="001250A2">
      <w:r>
        <w:separator/>
      </w:r>
    </w:p>
  </w:endnote>
  <w:endnote w:type="continuationSeparator" w:id="0">
    <w:p w:rsidR="001250A2" w:rsidRDefault="001250A2">
      <w:r>
        <w:continuationSeparator/>
      </w:r>
    </w:p>
  </w:endnote>
  <w:endnote w:type="continuationNotice" w:id="1">
    <w:p w:rsidR="001250A2" w:rsidRDefault="00125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7D62AA">
      <w:rPr>
        <w:rStyle w:val="slostrnky"/>
        <w:rFonts w:ascii="Arial" w:hAnsi="Arial" w:cs="Arial"/>
        <w:noProof/>
        <w:sz w:val="20"/>
        <w:szCs w:val="20"/>
      </w:rPr>
      <w:t>4</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7D62AA">
      <w:rPr>
        <w:rStyle w:val="slostrnky"/>
        <w:rFonts w:ascii="Arial" w:hAnsi="Arial" w:cs="Arial"/>
        <w:noProof/>
        <w:sz w:val="20"/>
        <w:szCs w:val="20"/>
      </w:rPr>
      <w:t>4</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0A2" w:rsidRDefault="001250A2">
      <w:r>
        <w:separator/>
      </w:r>
    </w:p>
  </w:footnote>
  <w:footnote w:type="continuationSeparator" w:id="0">
    <w:p w:rsidR="001250A2" w:rsidRDefault="001250A2">
      <w:r>
        <w:continuationSeparator/>
      </w:r>
    </w:p>
  </w:footnote>
  <w:footnote w:type="continuationNotice" w:id="1">
    <w:p w:rsidR="001250A2" w:rsidRDefault="001250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6F22"/>
    <w:rsid w:val="001772A5"/>
    <w:rsid w:val="00183D7E"/>
    <w:rsid w:val="001923A5"/>
    <w:rsid w:val="00194D42"/>
    <w:rsid w:val="0019794C"/>
    <w:rsid w:val="001A0D69"/>
    <w:rsid w:val="001A1309"/>
    <w:rsid w:val="001A58FD"/>
    <w:rsid w:val="001A72BB"/>
    <w:rsid w:val="001B21DD"/>
    <w:rsid w:val="001B4294"/>
    <w:rsid w:val="001C0687"/>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641"/>
    <w:rsid w:val="00344ED3"/>
    <w:rsid w:val="00353E73"/>
    <w:rsid w:val="00360B26"/>
    <w:rsid w:val="003653E8"/>
    <w:rsid w:val="00370432"/>
    <w:rsid w:val="0037282C"/>
    <w:rsid w:val="00373AF1"/>
    <w:rsid w:val="00375A2C"/>
    <w:rsid w:val="003766F6"/>
    <w:rsid w:val="003774BA"/>
    <w:rsid w:val="0038790A"/>
    <w:rsid w:val="003B1D19"/>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BD9"/>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B7EEA"/>
    <w:rsid w:val="006C0C11"/>
    <w:rsid w:val="006C0FBA"/>
    <w:rsid w:val="006C1477"/>
    <w:rsid w:val="006C6AFC"/>
    <w:rsid w:val="006D2018"/>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62AA"/>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4146"/>
    <w:rsid w:val="008A5370"/>
    <w:rsid w:val="008A6EF4"/>
    <w:rsid w:val="008A6F42"/>
    <w:rsid w:val="008B0852"/>
    <w:rsid w:val="008B585D"/>
    <w:rsid w:val="008B6D80"/>
    <w:rsid w:val="008C2175"/>
    <w:rsid w:val="008C38EF"/>
    <w:rsid w:val="008D711F"/>
    <w:rsid w:val="008D723D"/>
    <w:rsid w:val="008F1269"/>
    <w:rsid w:val="008F60B7"/>
    <w:rsid w:val="008F7441"/>
    <w:rsid w:val="00912700"/>
    <w:rsid w:val="009326FB"/>
    <w:rsid w:val="00937265"/>
    <w:rsid w:val="009406BA"/>
    <w:rsid w:val="00942B06"/>
    <w:rsid w:val="00942DF9"/>
    <w:rsid w:val="0095733F"/>
    <w:rsid w:val="00962220"/>
    <w:rsid w:val="00962703"/>
    <w:rsid w:val="00966F15"/>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B565E"/>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2F60"/>
    <w:rsid w:val="00C97DC6"/>
    <w:rsid w:val="00CA462E"/>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313CF"/>
    <w:rsid w:val="00D46CC0"/>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3rMkJqT6FomnFzE+woNaRacxxWA=</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z995JWO7IrAaZYwPEgOH5UaAQPQ=</DigestValue>
    </Reference>
  </SignedInfo>
  <SignatureValue>ecfi4nWYk+mOomB+Tl/6q0JsMvz2j1R7yPsuVyDDfW9zIP/eW8O0N/RTfA68A4k+/6ZsbJhbfFOA
lHVNEH7j2NWg1YBznyibMPXQ6szDSYlzBGa3Hqefr2XFcNP4jZbMyGAmCWsFSaRI/LvN1XtekMmx
1Q7/KVDDMucRIvPYO6j/Du2CPC5Rrwl2UMBJ7VdJ2ZeZw9sJdlvVkI1tclPdK/NwXUy+rVWxg8NS
r2NE92n4t2uFlfVmenXfYDLHlcNJRtM0AYXY21UHPSzWryTnx9QOWOMnQtWGK/E7g5y/Hiw0Bgmp
OHaLbT5fJT8WWohfUUkw89wJIvHnmJknWAG3iw==</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Zglej0A1mNhIXxtwn3k7BAqWifs=</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64GkwF86Ommg+30Ob3ELFxxsGfM=</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NqxSEKyLZlo9F6uhppntd61AoJM=</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6+99ffwmILbgoVgFRbtYAGtFvBM=</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etVcidda09vm0qwW06YyoGujMfY=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2015-01-21T13:35:49Z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2015-01-21T13:35:49Z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terms/"/>
    <ds:schemaRef ds:uri="http://schemas.openxmlformats.org/package/2006/metadata/core-properties"/>
    <ds:schemaRef ds:uri="http://schemas.microsoft.com/office/2006/metadata/properties"/>
    <ds:schemaRef ds:uri="http://purl.org/dc/dcmitype/"/>
    <ds:schemaRef ds:uri="http://www.w3.org/XML/1998/namespace"/>
    <ds:schemaRef ds:uri="http://purl.org/dc/elements/1.1/"/>
    <ds:schemaRef ds:uri="5e6c6c5c-474c-4ef7-b7d6-59a0e77cc256"/>
    <ds:schemaRef ds:uri="http://schemas.microsoft.com/office/2006/documentManagement/types"/>
    <ds:schemaRef ds:uri="8662c659-72ab-411b-b755-fbef5cbbde18"/>
    <ds:schemaRef ds:uri="4085a4f5-5f40-4143-b221-75ee5dde648a"/>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D72F1DC6-9421-4DFD-94D7-2AFD9AE9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1040</Words>
  <Characters>6181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7207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4</cp:revision>
  <cp:lastPrinted>2015-01-21T13:35:00Z</cp:lastPrinted>
  <dcterms:created xsi:type="dcterms:W3CDTF">2015-01-21T07:43:00Z</dcterms:created>
  <dcterms:modified xsi:type="dcterms:W3CDTF">2015-01-21T13:35:00Z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