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integrační</w:t>
      </w:r>
      <w:proofErr w:type="spellEnd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prostředí</w:t>
      </w:r>
      <w:proofErr w:type="spellEnd"/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F4167D">
        <w:rPr>
          <w:rFonts w:ascii="Arial" w:hAnsi="Arial" w:cs="Arial"/>
          <w:b/>
          <w:sz w:val="26"/>
          <w:szCs w:val="26"/>
          <w:lang w:eastAsia="en-US" w:bidi="en-US"/>
        </w:rPr>
        <w:t>XXIV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8E52E0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8E52E0">
        <w:rPr>
          <w:rFonts w:ascii="Arial" w:hAnsi="Arial" w:cs="Arial"/>
          <w:sz w:val="20"/>
          <w:szCs w:val="20"/>
        </w:rPr>
        <w:lastRenderedPageBreak/>
        <w:t>MPSV</w:t>
      </w:r>
      <w:r w:rsidRPr="008E52E0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8E52E0">
        <w:rPr>
          <w:rFonts w:ascii="Arial" w:hAnsi="Arial" w:cs="Arial"/>
          <w:sz w:val="20"/>
          <w:szCs w:val="20"/>
        </w:rPr>
        <w:t>,</w:t>
      </w:r>
      <w:r w:rsidR="00307CCF" w:rsidRPr="008E52E0">
        <w:rPr>
          <w:rFonts w:ascii="Arial" w:hAnsi="Arial" w:cs="Arial"/>
          <w:sz w:val="20"/>
          <w:szCs w:val="20"/>
        </w:rPr>
        <w:t xml:space="preserve"> </w:t>
      </w:r>
      <w:r w:rsidR="00262849" w:rsidRPr="008E52E0">
        <w:rPr>
          <w:rFonts w:ascii="Arial" w:hAnsi="Arial" w:cs="Arial"/>
          <w:sz w:val="20"/>
          <w:szCs w:val="20"/>
        </w:rPr>
        <w:t>obdržel</w:t>
      </w:r>
      <w:r w:rsidR="00B33912" w:rsidRPr="008E52E0">
        <w:rPr>
          <w:rFonts w:ascii="Arial" w:hAnsi="Arial" w:cs="Arial"/>
          <w:sz w:val="20"/>
          <w:szCs w:val="20"/>
        </w:rPr>
        <w:t>o</w:t>
      </w:r>
      <w:r w:rsidR="00262849" w:rsidRPr="008E52E0">
        <w:rPr>
          <w:rFonts w:ascii="Arial" w:hAnsi="Arial" w:cs="Arial"/>
          <w:sz w:val="20"/>
          <w:szCs w:val="20"/>
        </w:rPr>
        <w:t xml:space="preserve"> dne </w:t>
      </w:r>
      <w:r w:rsidR="00F4167D" w:rsidRPr="008E52E0">
        <w:rPr>
          <w:rFonts w:ascii="Arial" w:hAnsi="Arial" w:cs="Arial"/>
          <w:sz w:val="20"/>
          <w:szCs w:val="20"/>
          <w:lang w:eastAsia="en-US" w:bidi="en-US"/>
        </w:rPr>
        <w:t xml:space="preserve">13. 2. 2015 </w:t>
      </w:r>
      <w:r w:rsidR="00262849" w:rsidRPr="008E52E0">
        <w:rPr>
          <w:rFonts w:ascii="Arial" w:hAnsi="Arial" w:cs="Arial"/>
          <w:sz w:val="20"/>
          <w:szCs w:val="20"/>
        </w:rPr>
        <w:t xml:space="preserve">žádost o </w:t>
      </w:r>
      <w:r w:rsidR="00031131" w:rsidRPr="008E52E0">
        <w:rPr>
          <w:rFonts w:ascii="Arial" w:hAnsi="Arial" w:cs="Arial"/>
          <w:sz w:val="20"/>
          <w:szCs w:val="20"/>
        </w:rPr>
        <w:t>poskytnutí dodatečných informací</w:t>
      </w:r>
      <w:r w:rsidR="00262849" w:rsidRPr="008E52E0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8E52E0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 xml:space="preserve">Na níže </w:t>
      </w:r>
      <w:r w:rsidR="007C1C5F" w:rsidRPr="008E52E0">
        <w:rPr>
          <w:rFonts w:ascii="Arial" w:hAnsi="Arial" w:cs="Arial"/>
          <w:sz w:val="20"/>
          <w:szCs w:val="20"/>
        </w:rPr>
        <w:t xml:space="preserve">uvedené </w:t>
      </w:r>
      <w:r w:rsidRPr="008E52E0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8E52E0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sz w:val="20"/>
          <w:szCs w:val="20"/>
        </w:rPr>
        <w:t>:</w:t>
      </w:r>
    </w:p>
    <w:p w:rsidR="008E52E0" w:rsidRPr="008E52E0" w:rsidRDefault="008E52E0" w:rsidP="008E52E0">
      <w:pPr>
        <w:tabs>
          <w:tab w:val="left" w:pos="6585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 xml:space="preserve">V příloze </w:t>
      </w:r>
      <w:proofErr w:type="gramStart"/>
      <w:r w:rsidRPr="008E52E0">
        <w:rPr>
          <w:rFonts w:ascii="Arial" w:hAnsi="Arial" w:cs="Arial"/>
          <w:sz w:val="20"/>
          <w:szCs w:val="20"/>
        </w:rPr>
        <w:t>č.6 – Funkční</w:t>
      </w:r>
      <w:proofErr w:type="gramEnd"/>
      <w:r w:rsidRPr="008E52E0">
        <w:rPr>
          <w:rFonts w:ascii="Arial" w:hAnsi="Arial" w:cs="Arial"/>
          <w:sz w:val="20"/>
          <w:szCs w:val="20"/>
        </w:rPr>
        <w:t xml:space="preserve"> a technické požadavky v kapitole 2.4.6.3 Správa koncových stanic a mobilních zařízení je uvedeno:</w:t>
      </w:r>
    </w:p>
    <w:p w:rsidR="008E52E0" w:rsidRPr="008E52E0" w:rsidRDefault="008E52E0" w:rsidP="008E52E0">
      <w:pPr>
        <w:tabs>
          <w:tab w:val="left" w:pos="6585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Základní požadavky na systém správy koncových stanic:</w:t>
      </w:r>
    </w:p>
    <w:p w:rsidR="008E52E0" w:rsidRPr="008E52E0" w:rsidRDefault="008E52E0" w:rsidP="008E52E0">
      <w:pPr>
        <w:numPr>
          <w:ilvl w:val="0"/>
          <w:numId w:val="32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Monitorování – inventarizace programového vybavení a základních provozních hodnot koncových stanic</w:t>
      </w:r>
    </w:p>
    <w:p w:rsidR="001809A5" w:rsidRPr="008E52E0" w:rsidRDefault="008E52E0" w:rsidP="008E52E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E52E0">
        <w:rPr>
          <w:rFonts w:ascii="Arial" w:hAnsi="Arial" w:cs="Arial"/>
          <w:sz w:val="20"/>
          <w:szCs w:val="20"/>
        </w:rPr>
        <w:t xml:space="preserve">Co se má chápat pod pojmem monitorování „základních provozních </w:t>
      </w:r>
      <w:proofErr w:type="gramStart"/>
      <w:r w:rsidRPr="008E52E0">
        <w:rPr>
          <w:rFonts w:ascii="Arial" w:hAnsi="Arial" w:cs="Arial"/>
          <w:sz w:val="20"/>
          <w:szCs w:val="20"/>
        </w:rPr>
        <w:t>hodnot“ ? Je</w:t>
      </w:r>
      <w:proofErr w:type="gramEnd"/>
      <w:r w:rsidRPr="008E52E0">
        <w:rPr>
          <w:rFonts w:ascii="Arial" w:hAnsi="Arial" w:cs="Arial"/>
          <w:sz w:val="20"/>
          <w:szCs w:val="20"/>
        </w:rPr>
        <w:t xml:space="preserve"> tím myšlen monitoring a dohled?  Má to být takto chápáno?</w:t>
      </w: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809A5" w:rsidRPr="008E52E0" w:rsidRDefault="00B30EBD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C5339">
        <w:rPr>
          <w:rFonts w:ascii="Arial" w:hAnsi="Arial" w:cs="Arial"/>
          <w:sz w:val="20"/>
          <w:szCs w:val="20"/>
          <w:lang w:eastAsia="en-US" w:bidi="en-US"/>
        </w:rPr>
        <w:t xml:space="preserve">Monitorováním základních provozních hodnot koncových stanic je myšlen sběr relevantních dat potřebných pro jejich bezproblémovou správu (např. volné místo na pevném disku, aktualizace </w:t>
      </w:r>
      <w:proofErr w:type="spellStart"/>
      <w:r w:rsidRPr="001C5339">
        <w:rPr>
          <w:rFonts w:ascii="Arial" w:hAnsi="Arial" w:cs="Arial"/>
          <w:sz w:val="20"/>
          <w:szCs w:val="20"/>
          <w:lang w:eastAsia="en-US" w:bidi="en-US"/>
        </w:rPr>
        <w:t>windows</w:t>
      </w:r>
      <w:proofErr w:type="spellEnd"/>
      <w:r w:rsidRPr="001C5339">
        <w:rPr>
          <w:rFonts w:ascii="Arial" w:hAnsi="Arial" w:cs="Arial"/>
          <w:sz w:val="20"/>
          <w:szCs w:val="20"/>
          <w:lang w:eastAsia="en-US" w:bidi="en-US"/>
        </w:rPr>
        <w:t>, verze programového vybavení, stav antiviru)</w:t>
      </w: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b/>
          <w:sz w:val="20"/>
          <w:szCs w:val="20"/>
        </w:rPr>
        <w:t xml:space="preserve">: </w:t>
      </w:r>
    </w:p>
    <w:p w:rsidR="008E52E0" w:rsidRPr="008E52E0" w:rsidRDefault="008E52E0" w:rsidP="008E52E0">
      <w:pPr>
        <w:tabs>
          <w:tab w:val="left" w:pos="6585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Pokud Uchazeč dodá v souvislosti s kapitolou „2.4.2 Certifikační autorita a čipové karty“ také 2x HSM modul do Produkčního prostředí, pak:</w:t>
      </w:r>
    </w:p>
    <w:p w:rsidR="008E52E0" w:rsidRPr="008E52E0" w:rsidRDefault="008E52E0" w:rsidP="008E52E0">
      <w:pPr>
        <w:numPr>
          <w:ilvl w:val="0"/>
          <w:numId w:val="33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Je nutno dodat také HSM modul do Testovacího prostředí?</w:t>
      </w:r>
    </w:p>
    <w:p w:rsidR="001809A5" w:rsidRPr="008E52E0" w:rsidRDefault="008E52E0" w:rsidP="008E52E0">
      <w:pPr>
        <w:numPr>
          <w:ilvl w:val="0"/>
          <w:numId w:val="33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Pokud by nebylo nutné dodání HSM modulů do Testovacího prostředí, akceptuje Zadavatel variantu, kdy aplikace nacházející se v Testovacím prostředí budou využívat HSM moduly z Produkčního prostředí?</w:t>
      </w: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59563C" w:rsidRPr="008E52E0" w:rsidRDefault="0059563C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C5339">
        <w:rPr>
          <w:rFonts w:ascii="Arial" w:hAnsi="Arial" w:cs="Arial"/>
          <w:sz w:val="20"/>
          <w:szCs w:val="20"/>
          <w:lang w:eastAsia="en-US" w:bidi="en-US"/>
        </w:rPr>
        <w:t>Zadavatel předně odkazuje na odpověď k Dotazu č. 16 Dodatečných informací XIV. Dále zadavatel uvádí,</w:t>
      </w:r>
      <w:r w:rsidR="00F7033D" w:rsidRPr="001C5339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Pr="001C5339">
        <w:rPr>
          <w:rFonts w:ascii="Arial" w:hAnsi="Arial" w:cs="Arial"/>
          <w:sz w:val="20"/>
          <w:szCs w:val="20"/>
          <w:lang w:eastAsia="en-US" w:bidi="en-US"/>
        </w:rPr>
        <w:t xml:space="preserve">že </w:t>
      </w:r>
      <w:r w:rsidRPr="001C5339">
        <w:rPr>
          <w:rFonts w:ascii="Arial" w:hAnsi="Arial" w:cs="Arial"/>
          <w:b/>
          <w:sz w:val="20"/>
          <w:szCs w:val="20"/>
          <w:lang w:eastAsia="en-US" w:bidi="en-US"/>
        </w:rPr>
        <w:t>pokud</w:t>
      </w:r>
      <w:r w:rsidRPr="001C5339">
        <w:rPr>
          <w:rFonts w:ascii="Arial" w:hAnsi="Arial" w:cs="Arial"/>
          <w:sz w:val="20"/>
          <w:szCs w:val="20"/>
          <w:lang w:eastAsia="en-US" w:bidi="en-US"/>
        </w:rPr>
        <w:t xml:space="preserve"> se uchazeč rozhodne</w:t>
      </w:r>
      <w:r w:rsidR="001C5339" w:rsidRPr="001C5339">
        <w:rPr>
          <w:rFonts w:ascii="Arial" w:hAnsi="Arial" w:cs="Arial"/>
          <w:sz w:val="20"/>
          <w:szCs w:val="20"/>
          <w:lang w:eastAsia="en-US" w:bidi="en-US"/>
        </w:rPr>
        <w:t>,</w:t>
      </w:r>
      <w:r w:rsidRPr="001C5339">
        <w:rPr>
          <w:rFonts w:ascii="Arial" w:hAnsi="Arial" w:cs="Arial"/>
          <w:sz w:val="20"/>
          <w:szCs w:val="20"/>
          <w:lang w:eastAsia="en-US" w:bidi="en-US"/>
        </w:rPr>
        <w:t xml:space="preserve"> v souvislosti s kapitolou 2.4.2 přílohy č. 6</w:t>
      </w:r>
      <w:r w:rsidR="001C5339" w:rsidRPr="001C5339">
        <w:rPr>
          <w:rFonts w:ascii="Arial" w:hAnsi="Arial" w:cs="Arial"/>
          <w:sz w:val="20"/>
          <w:szCs w:val="20"/>
          <w:lang w:eastAsia="en-US" w:bidi="en-US"/>
        </w:rPr>
        <w:t>,</w:t>
      </w:r>
      <w:r w:rsidRPr="001C5339">
        <w:rPr>
          <w:rFonts w:ascii="Arial" w:hAnsi="Arial" w:cs="Arial"/>
          <w:sz w:val="20"/>
          <w:szCs w:val="20"/>
          <w:lang w:eastAsia="en-US" w:bidi="en-US"/>
        </w:rPr>
        <w:t xml:space="preserve"> dodat HSM modul</w:t>
      </w:r>
      <w:r w:rsidR="001C5339" w:rsidRPr="001C5339">
        <w:rPr>
          <w:rFonts w:ascii="Arial" w:hAnsi="Arial" w:cs="Arial"/>
          <w:sz w:val="20"/>
          <w:szCs w:val="20"/>
          <w:lang w:eastAsia="en-US" w:bidi="en-US"/>
        </w:rPr>
        <w:t>,</w:t>
      </w:r>
      <w:r w:rsidRPr="001C5339">
        <w:rPr>
          <w:rFonts w:ascii="Arial" w:hAnsi="Arial" w:cs="Arial"/>
          <w:sz w:val="20"/>
          <w:szCs w:val="20"/>
          <w:lang w:eastAsia="en-US" w:bidi="en-US"/>
        </w:rPr>
        <w:t xml:space="preserve"> nezbavuje jej tato jeho volba povinnosti dodržet i požadavky na identičnost Produkčního a testovacího prostředí.</w:t>
      </w:r>
    </w:p>
    <w:p w:rsidR="001C5339" w:rsidRDefault="001C5339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b/>
          <w:sz w:val="20"/>
          <w:szCs w:val="20"/>
        </w:rPr>
        <w:t>:</w:t>
      </w:r>
      <w:r w:rsidRPr="008E52E0">
        <w:rPr>
          <w:rFonts w:ascii="Arial" w:hAnsi="Arial" w:cs="Arial"/>
          <w:sz w:val="20"/>
          <w:szCs w:val="20"/>
        </w:rPr>
        <w:t xml:space="preserve"> </w:t>
      </w:r>
    </w:p>
    <w:p w:rsidR="001809A5" w:rsidRPr="008E52E0" w:rsidRDefault="008E52E0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E52E0">
        <w:rPr>
          <w:rFonts w:ascii="Arial" w:hAnsi="Arial" w:cs="Arial"/>
          <w:sz w:val="20"/>
          <w:szCs w:val="20"/>
          <w:lang w:eastAsia="en-US" w:bidi="en-US"/>
        </w:rPr>
        <w:t xml:space="preserve">Může Zadavatel uvést přesnou specifikaci bezkontaktní technologie na stávajících čipových kartách (HID </w:t>
      </w:r>
      <w:proofErr w:type="spellStart"/>
      <w:r w:rsidRPr="008E52E0">
        <w:rPr>
          <w:rFonts w:ascii="Arial" w:hAnsi="Arial" w:cs="Arial"/>
          <w:sz w:val="20"/>
          <w:szCs w:val="20"/>
          <w:lang w:eastAsia="en-US" w:bidi="en-US"/>
        </w:rPr>
        <w:t>Prox</w:t>
      </w:r>
      <w:proofErr w:type="spellEnd"/>
      <w:r w:rsidRPr="008E52E0">
        <w:rPr>
          <w:rFonts w:ascii="Arial" w:hAnsi="Arial" w:cs="Arial"/>
          <w:sz w:val="20"/>
          <w:szCs w:val="20"/>
          <w:lang w:eastAsia="en-US" w:bidi="en-US"/>
        </w:rPr>
        <w:t xml:space="preserve"> 125 KHz,  </w:t>
      </w:r>
      <w:proofErr w:type="spellStart"/>
      <w:r w:rsidRPr="008E52E0">
        <w:rPr>
          <w:rFonts w:ascii="Arial" w:hAnsi="Arial" w:cs="Arial"/>
          <w:sz w:val="20"/>
          <w:szCs w:val="20"/>
          <w:lang w:eastAsia="en-US" w:bidi="en-US"/>
        </w:rPr>
        <w:t>iCLASS</w:t>
      </w:r>
      <w:proofErr w:type="spellEnd"/>
      <w:r w:rsidRPr="008E52E0">
        <w:rPr>
          <w:rFonts w:ascii="Arial" w:hAnsi="Arial" w:cs="Arial"/>
          <w:sz w:val="20"/>
          <w:szCs w:val="20"/>
          <w:lang w:eastAsia="en-US" w:bidi="en-US"/>
        </w:rPr>
        <w:t xml:space="preserve"> 13.56 MHz, </w:t>
      </w:r>
      <w:proofErr w:type="spellStart"/>
      <w:r w:rsidRPr="008E52E0">
        <w:rPr>
          <w:rFonts w:ascii="Arial" w:hAnsi="Arial" w:cs="Arial"/>
          <w:sz w:val="20"/>
          <w:szCs w:val="20"/>
          <w:lang w:eastAsia="en-US" w:bidi="en-US"/>
        </w:rPr>
        <w:t>Mifare</w:t>
      </w:r>
      <w:proofErr w:type="spellEnd"/>
      <w:r w:rsidRPr="008E52E0">
        <w:rPr>
          <w:rFonts w:ascii="Arial" w:hAnsi="Arial" w:cs="Arial"/>
          <w:sz w:val="20"/>
          <w:szCs w:val="20"/>
          <w:lang w:eastAsia="en-US" w:bidi="en-US"/>
        </w:rPr>
        <w:t xml:space="preserve">  13.56 </w:t>
      </w:r>
      <w:proofErr w:type="gramStart"/>
      <w:r w:rsidRPr="008E52E0">
        <w:rPr>
          <w:rFonts w:ascii="Arial" w:hAnsi="Arial" w:cs="Arial"/>
          <w:sz w:val="20"/>
          <w:szCs w:val="20"/>
          <w:lang w:eastAsia="en-US" w:bidi="en-US"/>
        </w:rPr>
        <w:t>MHz, ...)?</w:t>
      </w:r>
      <w:proofErr w:type="gramEnd"/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1809A5" w:rsidRPr="008E52E0" w:rsidRDefault="001C5339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Stávající čipové karty jsou typu </w:t>
      </w:r>
      <w:proofErr w:type="spellStart"/>
      <w:r w:rsidRPr="008E52E0">
        <w:rPr>
          <w:rFonts w:ascii="Arial" w:hAnsi="Arial" w:cs="Arial"/>
          <w:sz w:val="20"/>
          <w:szCs w:val="20"/>
          <w:lang w:eastAsia="en-US" w:bidi="en-US"/>
        </w:rPr>
        <w:t>Mifare</w:t>
      </w:r>
      <w:proofErr w:type="spellEnd"/>
      <w:r w:rsidRPr="008E52E0">
        <w:rPr>
          <w:rFonts w:ascii="Arial" w:hAnsi="Arial" w:cs="Arial"/>
          <w:sz w:val="20"/>
          <w:szCs w:val="20"/>
          <w:lang w:eastAsia="en-US" w:bidi="en-US"/>
        </w:rPr>
        <w:t xml:space="preserve">  13.56 MHz</w:t>
      </w:r>
      <w:r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1C5339" w:rsidRDefault="001C5339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lastRenderedPageBreak/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b/>
          <w:sz w:val="20"/>
          <w:szCs w:val="20"/>
        </w:rPr>
        <w:t>:</w:t>
      </w:r>
    </w:p>
    <w:p w:rsidR="001809A5" w:rsidRPr="008E52E0" w:rsidRDefault="008E52E0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E52E0">
        <w:rPr>
          <w:rFonts w:ascii="Arial" w:hAnsi="Arial" w:cs="Arial"/>
          <w:color w:val="000000"/>
          <w:sz w:val="20"/>
          <w:szCs w:val="20"/>
        </w:rPr>
        <w:t xml:space="preserve">V odpovědi na „Dotaz č. 1“ uvedenou v dokumentu „Dodatečné informace k zadávacím podmínkám č. XV“ ze dne </w:t>
      </w:r>
      <w:proofErr w:type="gramStart"/>
      <w:r w:rsidRPr="008E52E0">
        <w:rPr>
          <w:rFonts w:ascii="Arial" w:hAnsi="Arial" w:cs="Arial"/>
          <w:color w:val="000000"/>
          <w:sz w:val="20"/>
          <w:szCs w:val="20"/>
        </w:rPr>
        <w:t>6.2.2015</w:t>
      </w:r>
      <w:proofErr w:type="gramEnd"/>
      <w:r w:rsidRPr="008E52E0">
        <w:rPr>
          <w:rFonts w:ascii="Arial" w:hAnsi="Arial" w:cs="Arial"/>
          <w:color w:val="000000"/>
          <w:sz w:val="20"/>
          <w:szCs w:val="20"/>
        </w:rPr>
        <w:t xml:space="preserve"> je uvedeno "odhad denního přírůstku dokumentů v úložišti cca 15 mil. dokumentů." Jde opravdu o denní přírůstek? To by znamenalo, že každý z uživatelů musí denně vyprodukovat více jak 700 dokumentů a ročně by v úložišti přibylo přibližně 3 750 000 000 dokumentů (počítáno pouze v pracovní dny)</w:t>
      </w: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C55BA1" w:rsidRPr="00FE08AF" w:rsidRDefault="00C55BA1" w:rsidP="00C55BA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52116">
        <w:rPr>
          <w:rFonts w:ascii="Arial" w:hAnsi="Arial" w:cs="Arial"/>
          <w:sz w:val="20"/>
          <w:szCs w:val="20"/>
          <w:lang w:eastAsia="en-US" w:bidi="en-US"/>
        </w:rPr>
        <w:t>Zadavatel odkazuje na odpověď na dotaz č. 9 poskytnutou v rámci Dodatečných informací č. XXIII.</w:t>
      </w:r>
      <w:r w:rsidRPr="00FE08AF">
        <w:rPr>
          <w:rFonts w:ascii="Arial" w:hAnsi="Arial" w:cs="Arial"/>
          <w:sz w:val="20"/>
          <w:szCs w:val="20"/>
          <w:lang w:eastAsia="en-US" w:bidi="en-US"/>
        </w:rPr>
        <w:t xml:space="preserve"> </w:t>
      </w:r>
    </w:p>
    <w:p w:rsidR="00D52116" w:rsidRDefault="00D52116" w:rsidP="001809A5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b/>
          <w:sz w:val="20"/>
          <w:szCs w:val="20"/>
        </w:rPr>
        <w:t>:</w:t>
      </w:r>
    </w:p>
    <w:p w:rsidR="001809A5" w:rsidRPr="008E52E0" w:rsidRDefault="008E52E0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E52E0">
        <w:rPr>
          <w:rFonts w:ascii="Arial" w:hAnsi="Arial" w:cs="Arial"/>
          <w:color w:val="000000"/>
          <w:sz w:val="20"/>
          <w:szCs w:val="20"/>
        </w:rPr>
        <w:t>V rámci DMS je požadováno důvěryhodně ukládání dokumentů. Je zajištění důvěryhodnosti v rámci této zakázky nějak časově omezeno nebo se jedná o zajištění důvěryhodnosti (neměnnosti a garance původce) dokumentů po celou dobu jejich uložení v uložišti bez ohledu na délku uložení každého z dokumentů?</w:t>
      </w:r>
    </w:p>
    <w:p w:rsidR="001809A5" w:rsidRPr="008E52E0" w:rsidRDefault="001809A5" w:rsidP="001809A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31131" w:rsidRPr="008E52E0" w:rsidRDefault="00835E0B" w:rsidP="00A31705">
      <w:pPr>
        <w:rPr>
          <w:rFonts w:ascii="Arial" w:hAnsi="Arial" w:cs="Arial"/>
          <w:sz w:val="20"/>
          <w:szCs w:val="20"/>
        </w:rPr>
      </w:pPr>
      <w:r w:rsidRPr="00D52116">
        <w:rPr>
          <w:rFonts w:ascii="Arial" w:hAnsi="Arial" w:cs="Arial"/>
          <w:sz w:val="20"/>
          <w:szCs w:val="20"/>
        </w:rPr>
        <w:t>Zajištění důvěryhodnosti uložených dokumentů není časově omezeno.</w:t>
      </w:r>
    </w:p>
    <w:p w:rsidR="00D52116" w:rsidRDefault="00D52116" w:rsidP="00F4167D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F4167D" w:rsidRPr="008E52E0" w:rsidRDefault="00F4167D" w:rsidP="00F4167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b/>
          <w:sz w:val="20"/>
          <w:szCs w:val="20"/>
        </w:rPr>
        <w:t>:</w:t>
      </w:r>
    </w:p>
    <w:p w:rsidR="008E52E0" w:rsidRPr="008E52E0" w:rsidRDefault="008E52E0" w:rsidP="008E52E0">
      <w:pPr>
        <w:tabs>
          <w:tab w:val="left" w:pos="6585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 xml:space="preserve">V souvislosti s odpovědí na Dotaz </w:t>
      </w:r>
      <w:proofErr w:type="gramStart"/>
      <w:r w:rsidRPr="008E52E0">
        <w:rPr>
          <w:rFonts w:ascii="Arial" w:hAnsi="Arial" w:cs="Arial"/>
          <w:sz w:val="20"/>
          <w:szCs w:val="20"/>
        </w:rPr>
        <w:t>č.1 uvedený</w:t>
      </w:r>
      <w:proofErr w:type="gramEnd"/>
      <w:r w:rsidRPr="008E52E0">
        <w:rPr>
          <w:rFonts w:ascii="Arial" w:hAnsi="Arial" w:cs="Arial"/>
          <w:sz w:val="20"/>
          <w:szCs w:val="20"/>
        </w:rPr>
        <w:t xml:space="preserve"> v „Dodatečné informace k zadávacím podmínkám č. XVI“, týkající se součinnosti Zadavatele při migraci SID uchazeč žádá o potvrzení výkladu . Chápe uchazeč správně, že je oprávněn v rámci Popisu návrhu řešení v kapitole popisující požadavky na součinnost Zadavatele pro migraci ve vztahu k migraci objektů AD uvést požadovanou součinnost:</w:t>
      </w:r>
    </w:p>
    <w:p w:rsidR="008E52E0" w:rsidRPr="008E52E0" w:rsidRDefault="008E52E0" w:rsidP="008E52E0">
      <w:pPr>
        <w:numPr>
          <w:ilvl w:val="0"/>
          <w:numId w:val="32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poskytnutí administrátorského oprávnění ve zdrojové doméně</w:t>
      </w:r>
    </w:p>
    <w:p w:rsidR="00F4167D" w:rsidRPr="008E52E0" w:rsidRDefault="008E52E0" w:rsidP="008E52E0">
      <w:pPr>
        <w:numPr>
          <w:ilvl w:val="0"/>
          <w:numId w:val="32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zajištění podmínek pro vytvoření vztahu důvěry mezi zdrojovou a cílovou doménou</w:t>
      </w:r>
    </w:p>
    <w:p w:rsidR="007344D2" w:rsidRDefault="00F4167D" w:rsidP="00F4167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D52116" w:rsidRPr="005D5DF1" w:rsidRDefault="00D52116" w:rsidP="00D5211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D52116">
        <w:rPr>
          <w:rFonts w:ascii="Arial" w:hAnsi="Arial" w:cs="Arial"/>
          <w:sz w:val="20"/>
          <w:szCs w:val="20"/>
        </w:rPr>
        <w:t>Uchazeč v Popisu návrhu řešení specifikuje, v jaké podobě poskytnutí této součinnosti očekává, není však oprávněn stanovit Zadavateli jakékoli povinnosti nad rámec povinností uvedených Zadavatelem ve Smlouvě (resp. v čl. 3 Přílohy č. 6 Zadávací dokumentace).</w:t>
      </w:r>
      <w:r w:rsidRPr="005D5DF1">
        <w:rPr>
          <w:rFonts w:ascii="Arial" w:hAnsi="Arial" w:cs="Arial"/>
          <w:sz w:val="20"/>
          <w:szCs w:val="20"/>
        </w:rPr>
        <w:t xml:space="preserve"> </w:t>
      </w:r>
    </w:p>
    <w:p w:rsidR="007344D2" w:rsidRPr="008E52E0" w:rsidRDefault="007344D2" w:rsidP="00F4167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4167D" w:rsidRPr="008E52E0" w:rsidRDefault="00F4167D" w:rsidP="00F4167D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b/>
          <w:sz w:val="20"/>
          <w:szCs w:val="20"/>
        </w:rPr>
        <w:t xml:space="preserve">Dotaz č. </w:t>
      </w:r>
      <w:r w:rsidRPr="008E52E0">
        <w:rPr>
          <w:rFonts w:ascii="Arial" w:hAnsi="Arial" w:cs="Arial"/>
          <w:b/>
          <w:sz w:val="20"/>
          <w:szCs w:val="20"/>
        </w:rPr>
        <w:fldChar w:fldCharType="begin"/>
      </w:r>
      <w:r w:rsidRPr="008E52E0">
        <w:rPr>
          <w:rFonts w:ascii="Arial" w:hAnsi="Arial" w:cs="Arial"/>
          <w:b/>
          <w:sz w:val="20"/>
          <w:szCs w:val="20"/>
        </w:rPr>
        <w:instrText xml:space="preserve"> AUTONUMLGL  \e </w:instrText>
      </w:r>
      <w:r w:rsidRPr="008E52E0">
        <w:rPr>
          <w:rFonts w:ascii="Arial" w:hAnsi="Arial" w:cs="Arial"/>
          <w:b/>
          <w:sz w:val="20"/>
          <w:szCs w:val="20"/>
        </w:rPr>
        <w:fldChar w:fldCharType="end"/>
      </w:r>
      <w:r w:rsidRPr="008E52E0">
        <w:rPr>
          <w:rFonts w:ascii="Arial" w:hAnsi="Arial" w:cs="Arial"/>
          <w:b/>
          <w:sz w:val="20"/>
          <w:szCs w:val="20"/>
        </w:rPr>
        <w:t>:</w:t>
      </w:r>
    </w:p>
    <w:p w:rsidR="008E52E0" w:rsidRPr="008E52E0" w:rsidRDefault="008E52E0" w:rsidP="008E52E0">
      <w:pPr>
        <w:tabs>
          <w:tab w:val="left" w:pos="6585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 xml:space="preserve">V zadávací dokumentaci Příloze č. 6 – Funkční a technické požadavky, se nachází v kapitole „2. ZÁKLADNÍ POŽADAVKY NA JISPSV“ obrázek č. 7 – architektura služeb“ je uveden jediný objekt „Monitoring – provozní dohled“, tento je označen zelenou barvou (stejně jako systém „Zálohování“). V legendě k uvedenému obrázku je dále uvedeno, že … Zeleně označené části jsou zajištěny MPSV (nebo jinými dodavateli)… Z uvedeného obrázku logicky vyplývá, že se jedná o jediný centralizovaný systém monitoringu a tento je poskytován ze strany MPSV. </w:t>
      </w:r>
      <w:proofErr w:type="gramStart"/>
      <w:r w:rsidRPr="008E52E0">
        <w:rPr>
          <w:rFonts w:ascii="Arial" w:hAnsi="Arial" w:cs="Arial"/>
          <w:sz w:val="20"/>
          <w:szCs w:val="20"/>
        </w:rPr>
        <w:t>Uvedeném</w:t>
      </w:r>
      <w:proofErr w:type="gramEnd"/>
      <w:r w:rsidRPr="008E52E0">
        <w:rPr>
          <w:rFonts w:ascii="Arial" w:hAnsi="Arial" w:cs="Arial"/>
          <w:sz w:val="20"/>
          <w:szCs w:val="20"/>
        </w:rPr>
        <w:t xml:space="preserve"> skutečnosti rovněž odpovídá analogie se systémem Zálohování, který je rovněž zajišťován MPSV.</w:t>
      </w:r>
    </w:p>
    <w:p w:rsidR="008E52E0" w:rsidRPr="008E52E0" w:rsidRDefault="008E52E0" w:rsidP="008E52E0">
      <w:pPr>
        <w:numPr>
          <w:ilvl w:val="0"/>
          <w:numId w:val="34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lastRenderedPageBreak/>
        <w:t>Jakým způsobem koresponduje výše uvedená skutečnost s odpovědí na Dotaz č. 1 poskytnutou v rámci dokumentu „Dodatečné informace k zadávacím podmínkám č. VI“ cituji „Zadavatel přepokládá implementaci celého řešení/nástroje pro monitoring dodaného Systému.“</w:t>
      </w:r>
    </w:p>
    <w:p w:rsidR="00F4167D" w:rsidRPr="008E52E0" w:rsidRDefault="008E52E0" w:rsidP="008E52E0">
      <w:pPr>
        <w:numPr>
          <w:ilvl w:val="0"/>
          <w:numId w:val="34"/>
        </w:numPr>
        <w:tabs>
          <w:tab w:val="left" w:pos="709"/>
        </w:tabs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>Na jaké technologii je „Monitoring-provozní dohled“ postaven pro určení způsobu integrace dodávaných systémů</w:t>
      </w:r>
    </w:p>
    <w:p w:rsidR="00F4167D" w:rsidRPr="008E52E0" w:rsidRDefault="00F4167D" w:rsidP="008E52E0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E52E0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A87A02" w:rsidRPr="008E52E0" w:rsidRDefault="00D52116" w:rsidP="008E52E0">
      <w:pPr>
        <w:keepNext/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odkazuje na odpověď č. 16 v rámci Dodatečných informací č. XXIII.</w:t>
      </w:r>
    </w:p>
    <w:p w:rsidR="00F4167D" w:rsidRPr="008E52E0" w:rsidRDefault="00F4167D" w:rsidP="00A31705">
      <w:pPr>
        <w:rPr>
          <w:rFonts w:ascii="Arial" w:hAnsi="Arial" w:cs="Arial"/>
          <w:sz w:val="20"/>
          <w:szCs w:val="20"/>
        </w:rPr>
      </w:pPr>
    </w:p>
    <w:p w:rsidR="001809A5" w:rsidRPr="008E52E0" w:rsidRDefault="001809A5" w:rsidP="00A31705">
      <w:pPr>
        <w:rPr>
          <w:rFonts w:ascii="Arial" w:hAnsi="Arial" w:cs="Arial"/>
          <w:sz w:val="20"/>
          <w:szCs w:val="20"/>
        </w:rPr>
      </w:pPr>
    </w:p>
    <w:p w:rsidR="00031131" w:rsidRPr="008E52E0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8E52E0" w:rsidRDefault="00886EB0" w:rsidP="001D5F52">
      <w:pPr>
        <w:rPr>
          <w:rFonts w:ascii="Arial" w:hAnsi="Arial" w:cs="Arial"/>
          <w:b/>
          <w:sz w:val="20"/>
          <w:szCs w:val="20"/>
        </w:rPr>
      </w:pPr>
      <w:r w:rsidRPr="008E52E0">
        <w:rPr>
          <w:rFonts w:ascii="Arial" w:hAnsi="Arial" w:cs="Arial"/>
          <w:sz w:val="20"/>
          <w:szCs w:val="20"/>
        </w:rPr>
        <w:t xml:space="preserve">V Praze dne </w:t>
      </w:r>
      <w:r w:rsidR="00AC4321">
        <w:rPr>
          <w:rFonts w:ascii="Arial" w:hAnsi="Arial" w:cs="Arial"/>
          <w:sz w:val="20"/>
          <w:szCs w:val="20"/>
          <w:lang w:eastAsia="en-US" w:bidi="en-US"/>
        </w:rPr>
        <w:t>17. 2. 2015</w:t>
      </w:r>
    </w:p>
    <w:sectPr w:rsidR="00331330" w:rsidRPr="008E52E0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CFC" w:rsidRDefault="00124CFC">
      <w:r>
        <w:separator/>
      </w:r>
    </w:p>
  </w:endnote>
  <w:endnote w:type="continuationSeparator" w:id="0">
    <w:p w:rsidR="00124CFC" w:rsidRDefault="00124CFC">
      <w:r>
        <w:continuationSeparator/>
      </w:r>
    </w:p>
  </w:endnote>
  <w:endnote w:type="continuationNotice" w:id="1">
    <w:p w:rsidR="00124CFC" w:rsidRDefault="00124C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altName w:val="Tahoma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869BD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1869BD">
      <w:rPr>
        <w:rStyle w:val="slostrnky"/>
        <w:rFonts w:ascii="Arial" w:hAnsi="Arial" w:cs="Arial"/>
        <w:noProof/>
        <w:sz w:val="20"/>
        <w:szCs w:val="20"/>
      </w:rPr>
      <w:t>4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CFC" w:rsidRDefault="00124CFC">
      <w:r>
        <w:separator/>
      </w:r>
    </w:p>
  </w:footnote>
  <w:footnote w:type="continuationSeparator" w:id="0">
    <w:p w:rsidR="00124CFC" w:rsidRDefault="00124CFC">
      <w:r>
        <w:continuationSeparator/>
      </w:r>
    </w:p>
  </w:footnote>
  <w:footnote w:type="continuationNotice" w:id="1">
    <w:p w:rsidR="00124CFC" w:rsidRDefault="00124C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2A4E7E"/>
    <w:multiLevelType w:val="hybridMultilevel"/>
    <w:tmpl w:val="F37C9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4900BC"/>
    <w:multiLevelType w:val="hybridMultilevel"/>
    <w:tmpl w:val="B58E8A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3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8E41AD"/>
    <w:multiLevelType w:val="hybridMultilevel"/>
    <w:tmpl w:val="B58E8A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3"/>
  </w:num>
  <w:num w:numId="4">
    <w:abstractNumId w:val="11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9"/>
  </w:num>
  <w:num w:numId="11">
    <w:abstractNumId w:val="5"/>
  </w:num>
  <w:num w:numId="12">
    <w:abstractNumId w:val="10"/>
  </w:num>
  <w:num w:numId="13">
    <w:abstractNumId w:val="14"/>
  </w:num>
  <w:num w:numId="14">
    <w:abstractNumId w:val="28"/>
  </w:num>
  <w:num w:numId="15">
    <w:abstractNumId w:val="26"/>
  </w:num>
  <w:num w:numId="16">
    <w:abstractNumId w:val="20"/>
  </w:num>
  <w:num w:numId="17">
    <w:abstractNumId w:val="0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1"/>
  </w:num>
  <w:num w:numId="21">
    <w:abstractNumId w:val="12"/>
  </w:num>
  <w:num w:numId="22">
    <w:abstractNumId w:val="15"/>
  </w:num>
  <w:num w:numId="23">
    <w:abstractNumId w:val="30"/>
  </w:num>
  <w:num w:numId="24">
    <w:abstractNumId w:val="8"/>
  </w:num>
  <w:num w:numId="25">
    <w:abstractNumId w:val="7"/>
  </w:num>
  <w:num w:numId="26">
    <w:abstractNumId w:val="22"/>
  </w:num>
  <w:num w:numId="27">
    <w:abstractNumId w:val="24"/>
  </w:num>
  <w:num w:numId="28">
    <w:abstractNumId w:val="4"/>
  </w:num>
  <w:num w:numId="29">
    <w:abstractNumId w:val="6"/>
  </w:num>
  <w:num w:numId="30">
    <w:abstractNumId w:val="19"/>
  </w:num>
  <w:num w:numId="31">
    <w:abstractNumId w:val="27"/>
  </w:num>
  <w:num w:numId="32">
    <w:abstractNumId w:val="17"/>
  </w:num>
  <w:num w:numId="33">
    <w:abstractNumId w:val="25"/>
  </w:num>
  <w:num w:numId="34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3F5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4CFC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09A5"/>
    <w:rsid w:val="00183D7E"/>
    <w:rsid w:val="001869BD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5339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39F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9563C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49A7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4D2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35E0B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40D2"/>
    <w:rsid w:val="008D723D"/>
    <w:rsid w:val="008E52E0"/>
    <w:rsid w:val="008F1269"/>
    <w:rsid w:val="008F60B7"/>
    <w:rsid w:val="008F7441"/>
    <w:rsid w:val="009326FB"/>
    <w:rsid w:val="00937265"/>
    <w:rsid w:val="009406BA"/>
    <w:rsid w:val="00942B06"/>
    <w:rsid w:val="00942DF9"/>
    <w:rsid w:val="00942F90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87A02"/>
    <w:rsid w:val="00A90207"/>
    <w:rsid w:val="00A90339"/>
    <w:rsid w:val="00A9475D"/>
    <w:rsid w:val="00AB3DBC"/>
    <w:rsid w:val="00AC4321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BD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55BA1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2F36"/>
    <w:rsid w:val="00D1488B"/>
    <w:rsid w:val="00D2006B"/>
    <w:rsid w:val="00D20621"/>
    <w:rsid w:val="00D313CF"/>
    <w:rsid w:val="00D52116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3E08"/>
    <w:rsid w:val="00E6724F"/>
    <w:rsid w:val="00E7041A"/>
    <w:rsid w:val="00E80656"/>
    <w:rsid w:val="00E8145A"/>
    <w:rsid w:val="00E83A69"/>
    <w:rsid w:val="00E840E3"/>
    <w:rsid w:val="00E92958"/>
    <w:rsid w:val="00E958E2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5F7D"/>
    <w:rsid w:val="00F4167D"/>
    <w:rsid w:val="00F52FB4"/>
    <w:rsid w:val="00F5705D"/>
    <w:rsid w:val="00F576B1"/>
    <w:rsid w:val="00F6000F"/>
    <w:rsid w:val="00F60119"/>
    <w:rsid w:val="00F66ED0"/>
    <w:rsid w:val="00F7033D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E73A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9EcLk2K8Mga6rjt7Pfg46bjDVes=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pFVm6zQ+cmJ4Ijo+YZSe7xp8R14=</DigestValue>
    </Reference>
  </SignedInfo>
  <SignatureValue>ZUPu6FSBOeh7pY/Yy11hAmam1zVDsAC1KGvh3iynFB9K4UKQZuu8eFev2cXpXkU+FbnAx2WiRsXK
zncs7M73uGmM7Pohu+Vx6h6nporZMzugdg07xWRyt79UFnrFfS9ywEVcsb6pexSm470si72ZH+Qk
GxeQv83BzRuudXwCPjd7PqwrN9cymg6EVUgIAywbONpFsUfH2CR0nPBjuhfTgfhszfu5/c+7tNTh
X2KjC1Er7AxhnF8U3rDCOnYOdX/AK/kuLsnvYz3cYtlAk6loYrJb4xp6e4SYx4FktQwouWNDfYpH
WUkacJjLQTgfj2cIf+bmTAWvyr3vyu4TnvYihw==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lPVY2mUioF4TIT6Ytlo0P3hD1r0=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dOZkVvUFWla0qLLhmAkh+KPTDTY=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bDSsdHqY82vI0t9IJAJwREXYOAs=</DigestValue>
      </Reference>
      <Reference URI="/word/footer2.xml?ContentType=application/vnd.openxmlformats-officedocument.wordprocessingml.footer+xml">
        <DigestMethod Algorithm="http://www.w3.org/2000/09/xmldsig#sha1"/>
        <DigestValue>B+L5KMpvlwnOywAtV7n/fzkXvJQ=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f+MOjJPdn8HziZypO0Wjo9ehKIA=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tPi0885vbvx715kChK+aeXQCNI0=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FrzBrTxT1zNErD8Gd/QoQtyDgs8=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2015-02-17T17:13:56Z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2015-02-17T17:13:56Z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4085a4f5-5f40-4143-b221-75ee5dde648a"/>
    <ds:schemaRef ds:uri="http://purl.org/dc/terms/"/>
    <ds:schemaRef ds:uri="http://purl.org/dc/dcmitype/"/>
    <ds:schemaRef ds:uri="http://schemas.openxmlformats.org/package/2006/metadata/core-properties"/>
    <ds:schemaRef ds:uri="8662c659-72ab-411b-b755-fbef5cbbde18"/>
    <ds:schemaRef ds:uri="5e6c6c5c-474c-4ef7-b7d6-59a0e77cc256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5FC9CF-C4F2-4E50-B5C8-600AB6DD4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753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Petr Pernica</dc:creator>
  <cp:lastModifiedBy>Najmanová Alena Ing. (MPSV)</cp:lastModifiedBy>
  <cp:revision>3</cp:revision>
  <cp:lastPrinted>2015-02-17T17:13:00Z</cp:lastPrinted>
  <dcterms:created xsi:type="dcterms:W3CDTF">2015-02-17T17:07:00Z</dcterms:created>
  <dcterms:modified xsi:type="dcterms:W3CDTF">2015-02-17T17:13:00Z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