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proofErr w:type="spellStart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Provozní</w:t>
      </w:r>
      <w:proofErr w:type="spellEnd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integrační</w:t>
      </w:r>
      <w:proofErr w:type="spellEnd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prostředí</w:t>
      </w:r>
      <w:proofErr w:type="spellEnd"/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</w:t>
      </w:r>
      <w:r w:rsidR="006725BC">
        <w:rPr>
          <w:rFonts w:cs="Arial"/>
          <w:sz w:val="20"/>
          <w:szCs w:val="20"/>
          <w:lang w:val="en-US"/>
        </w:rPr>
        <w:t>06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2F6D82">
        <w:rPr>
          <w:rFonts w:ascii="Arial" w:hAnsi="Arial" w:cs="Arial"/>
          <w:b/>
          <w:sz w:val="26"/>
          <w:szCs w:val="26"/>
          <w:lang w:eastAsia="en-US" w:bidi="en-US"/>
        </w:rPr>
        <w:t>XXI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2F6D82">
        <w:rPr>
          <w:rFonts w:ascii="Arial" w:hAnsi="Arial" w:cs="Arial"/>
          <w:sz w:val="20"/>
          <w:szCs w:val="20"/>
          <w:lang w:eastAsia="en-US" w:bidi="en-US"/>
        </w:rPr>
        <w:t xml:space="preserve">10. 2. 2015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sz w:val="20"/>
          <w:szCs w:val="20"/>
        </w:rPr>
        <w:t>:</w:t>
      </w:r>
    </w:p>
    <w:p w:rsidR="00E4670E" w:rsidRPr="000A558D" w:rsidRDefault="00E4670E" w:rsidP="00E4670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A558D">
        <w:rPr>
          <w:rFonts w:ascii="Arial" w:hAnsi="Arial" w:cs="Arial"/>
          <w:sz w:val="20"/>
          <w:szCs w:val="20"/>
        </w:rPr>
        <w:t>Dle požadavku Zadavatele jsou vzhledem ke klíčové roli ESB v provozu business aplikací požadavky na vysokou dostupnost řešení ESB vyšší, než k ostatním systémům a ESB tak má být provozován v režimu aktiv-aktiv v produkčním i záložním datovém centru.</w:t>
      </w:r>
    </w:p>
    <w:p w:rsidR="001809A5" w:rsidRPr="000A558D" w:rsidRDefault="00E4670E" w:rsidP="00E4670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A558D">
        <w:rPr>
          <w:rFonts w:ascii="Arial" w:hAnsi="Arial" w:cs="Arial"/>
          <w:sz w:val="20"/>
          <w:szCs w:val="20"/>
        </w:rPr>
        <w:t xml:space="preserve">Mohou databázové servery platformy SQL Server z jednoho datového centra Zadavatele přistupovat k diskovému poli ve druhém datovém centru Zadavatele s využitím sítě SAN? Zadavatel tuto možnost nepřímo připustil odpovědí na Dotaz </w:t>
      </w:r>
      <w:proofErr w:type="gramStart"/>
      <w:r w:rsidRPr="000A558D">
        <w:rPr>
          <w:rFonts w:ascii="Arial" w:hAnsi="Arial" w:cs="Arial"/>
          <w:sz w:val="20"/>
          <w:szCs w:val="20"/>
        </w:rPr>
        <w:t>č.9 ze</w:t>
      </w:r>
      <w:proofErr w:type="gramEnd"/>
      <w:r w:rsidRPr="000A558D">
        <w:rPr>
          <w:rFonts w:ascii="Arial" w:hAnsi="Arial" w:cs="Arial"/>
          <w:sz w:val="20"/>
          <w:szCs w:val="20"/>
        </w:rPr>
        <w:t xml:space="preserve"> Sady č. V, kde je uvedena šířka pásma spoje SAN (jedno vlákno je použito pro komunikační infrastrukturu SAN na bázi technologie </w:t>
      </w:r>
      <w:proofErr w:type="spellStart"/>
      <w:r w:rsidRPr="000A558D">
        <w:rPr>
          <w:rFonts w:ascii="Arial" w:hAnsi="Arial" w:cs="Arial"/>
          <w:sz w:val="20"/>
          <w:szCs w:val="20"/>
        </w:rPr>
        <w:t>Fiber</w:t>
      </w:r>
      <w:proofErr w:type="spellEnd"/>
      <w:r w:rsidRPr="000A5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A558D">
        <w:rPr>
          <w:rFonts w:ascii="Arial" w:hAnsi="Arial" w:cs="Arial"/>
          <w:sz w:val="20"/>
          <w:szCs w:val="20"/>
        </w:rPr>
        <w:t>channel</w:t>
      </w:r>
      <w:proofErr w:type="spellEnd"/>
      <w:r w:rsidRPr="000A558D">
        <w:rPr>
          <w:rFonts w:ascii="Arial" w:hAnsi="Arial" w:cs="Arial"/>
          <w:sz w:val="20"/>
          <w:szCs w:val="20"/>
        </w:rPr>
        <w:t xml:space="preserve"> (šířka pásma 8 </w:t>
      </w:r>
      <w:proofErr w:type="spellStart"/>
      <w:r w:rsidRPr="000A558D">
        <w:rPr>
          <w:rFonts w:ascii="Arial" w:hAnsi="Arial" w:cs="Arial"/>
          <w:sz w:val="20"/>
          <w:szCs w:val="20"/>
        </w:rPr>
        <w:t>Gbps</w:t>
      </w:r>
      <w:proofErr w:type="spellEnd"/>
      <w:r w:rsidRPr="000A558D">
        <w:rPr>
          <w:rFonts w:ascii="Arial" w:hAnsi="Arial" w:cs="Arial"/>
          <w:sz w:val="20"/>
          <w:szCs w:val="20"/>
        </w:rPr>
        <w:t>))?</w:t>
      </w: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3A3B08" w:rsidRPr="00040199" w:rsidRDefault="003A3B08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2B6D5B">
        <w:rPr>
          <w:rFonts w:ascii="Arial" w:hAnsi="Arial" w:cs="Arial"/>
          <w:sz w:val="20"/>
          <w:szCs w:val="20"/>
          <w:lang w:eastAsia="en-US" w:bidi="en-US"/>
        </w:rPr>
        <w:t>Zadavatel nepředjímá návrh architektury Uchazeče. Zadavatel v</w:t>
      </w:r>
      <w:r w:rsidR="00BF71D1" w:rsidRPr="002B6D5B">
        <w:rPr>
          <w:rFonts w:ascii="Arial" w:hAnsi="Arial" w:cs="Arial"/>
          <w:sz w:val="20"/>
          <w:szCs w:val="20"/>
          <w:lang w:eastAsia="en-US" w:bidi="en-US"/>
        </w:rPr>
        <w:t xml:space="preserve"> rámci Dodatečných informacích </w:t>
      </w:r>
      <w:r w:rsidRPr="002B6D5B">
        <w:rPr>
          <w:rFonts w:ascii="Arial" w:hAnsi="Arial" w:cs="Arial"/>
          <w:sz w:val="20"/>
          <w:szCs w:val="20"/>
          <w:lang w:eastAsia="en-US" w:bidi="en-US"/>
        </w:rPr>
        <w:t>V</w:t>
      </w:r>
      <w:r w:rsidR="00BF71D1" w:rsidRPr="002B6D5B">
        <w:rPr>
          <w:rFonts w:ascii="Arial" w:hAnsi="Arial" w:cs="Arial"/>
          <w:sz w:val="20"/>
          <w:szCs w:val="20"/>
          <w:lang w:eastAsia="en-US" w:bidi="en-US"/>
        </w:rPr>
        <w:t xml:space="preserve">, odpověď č. </w:t>
      </w:r>
      <w:r w:rsidRPr="002B6D5B">
        <w:rPr>
          <w:rFonts w:ascii="Arial" w:hAnsi="Arial" w:cs="Arial"/>
          <w:sz w:val="20"/>
          <w:szCs w:val="20"/>
          <w:lang w:eastAsia="en-US" w:bidi="en-US"/>
        </w:rPr>
        <w:t>9. uvedl parametry propojení primárního a záložního datového centra. Uchazeč musí navrhnout vhodné řešení tak</w:t>
      </w:r>
      <w:r w:rsidR="00BF71D1" w:rsidRPr="002B6D5B">
        <w:rPr>
          <w:rFonts w:ascii="Arial" w:hAnsi="Arial" w:cs="Arial"/>
          <w:sz w:val="20"/>
          <w:szCs w:val="20"/>
          <w:lang w:eastAsia="en-US" w:bidi="en-US"/>
        </w:rPr>
        <w:t xml:space="preserve">ovým způsobem, </w:t>
      </w:r>
      <w:r w:rsidRPr="002B6D5B">
        <w:rPr>
          <w:rFonts w:ascii="Arial" w:hAnsi="Arial" w:cs="Arial"/>
          <w:sz w:val="20"/>
          <w:szCs w:val="20"/>
          <w:lang w:eastAsia="en-US" w:bidi="en-US"/>
        </w:rPr>
        <w:t xml:space="preserve">aby byl splněn požadavek Zadavatele na vysokou dostupnost ESB podle bodu 2.4.3 Přílohy č. 6 </w:t>
      </w:r>
      <w:r w:rsidR="001D72E0" w:rsidRPr="002B6D5B">
        <w:rPr>
          <w:rFonts w:ascii="Arial" w:hAnsi="Arial" w:cs="Arial"/>
          <w:sz w:val="20"/>
          <w:szCs w:val="20"/>
          <w:lang w:eastAsia="en-US" w:bidi="en-US"/>
        </w:rPr>
        <w:t>této Zadávací dokumentace.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 </w:t>
      </w:r>
    </w:p>
    <w:p w:rsidR="002B6D5B" w:rsidRDefault="002B6D5B" w:rsidP="001809A5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E4670E" w:rsidRPr="000A558D" w:rsidRDefault="00E4670E" w:rsidP="00E4670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A558D">
        <w:rPr>
          <w:rFonts w:ascii="Arial" w:hAnsi="Arial" w:cs="Arial"/>
          <w:sz w:val="20"/>
          <w:szCs w:val="20"/>
        </w:rPr>
        <w:t>Dle požadavku Zadavatele jsou vzhledem ke klíčové roli ESB v provozu business aplikací požadavky na vysokou dostupnost řešení ESB vyšší, než k ostatním systémům a ESB tak má být provozován v režimu aktiv-aktiv v produkčním i záložním datovém centru.</w:t>
      </w:r>
    </w:p>
    <w:p w:rsidR="001809A5" w:rsidRPr="00040199" w:rsidRDefault="00E4670E" w:rsidP="00E4670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A558D">
        <w:rPr>
          <w:rFonts w:ascii="Arial" w:hAnsi="Arial" w:cs="Arial"/>
          <w:sz w:val="20"/>
          <w:szCs w:val="20"/>
        </w:rPr>
        <w:t>Mohou servery platformy BizTalk Server z jednoho datového centra Zadavatele přistupovat k databázovým serverům platformy SQL Server ve druhém datovém centru Zadavatele s využitím sítě LAN/WAN?</w:t>
      </w: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D72E0" w:rsidRDefault="001D72E0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B6D5B">
        <w:rPr>
          <w:rFonts w:ascii="Arial" w:hAnsi="Arial" w:cs="Arial"/>
          <w:sz w:val="20"/>
          <w:szCs w:val="20"/>
          <w:lang w:eastAsia="en-US" w:bidi="en-US"/>
        </w:rPr>
        <w:t xml:space="preserve">Zadavatel odkazuje na odpověď č. 1 těchto </w:t>
      </w:r>
      <w:r w:rsidR="00BF71D1" w:rsidRPr="002B6D5B">
        <w:rPr>
          <w:rFonts w:ascii="Arial" w:hAnsi="Arial" w:cs="Arial"/>
          <w:sz w:val="20"/>
          <w:szCs w:val="20"/>
          <w:lang w:eastAsia="en-US" w:bidi="en-US"/>
        </w:rPr>
        <w:t>D</w:t>
      </w:r>
      <w:r w:rsidRPr="002B6D5B">
        <w:rPr>
          <w:rFonts w:ascii="Arial" w:hAnsi="Arial" w:cs="Arial"/>
          <w:sz w:val="20"/>
          <w:szCs w:val="20"/>
          <w:lang w:eastAsia="en-US" w:bidi="en-US"/>
        </w:rPr>
        <w:t>odatečných informací.</w:t>
      </w:r>
    </w:p>
    <w:p w:rsidR="002B6D5B" w:rsidRPr="00040199" w:rsidRDefault="002B6D5B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E4670E" w:rsidRPr="000A558D" w:rsidRDefault="00E4670E" w:rsidP="00E4670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A558D">
        <w:rPr>
          <w:rFonts w:ascii="Arial" w:hAnsi="Arial" w:cs="Arial"/>
          <w:sz w:val="20"/>
          <w:szCs w:val="20"/>
        </w:rPr>
        <w:t xml:space="preserve">V kapitole 2.3.2 Požadavky na architekturu Systému v Příloze 6 je uvedeno „Celé řešení bude podporovat používání národních znakových sad minimálně v rozsahu UTF8, win1250-1251, ISO 8859-1 a 8859-2. Všechny webové přístupy k implementovaným produktům pro koncového uživatele budou v českém jazyce. V českém jazyce budou i OS a implementované systémy, u kterých je to technologicky možné. Zejména avšak ne výlučně Active Directory, Exchange, MS CA, </w:t>
      </w:r>
      <w:proofErr w:type="spellStart"/>
      <w:r w:rsidRPr="000A558D">
        <w:rPr>
          <w:rFonts w:ascii="Arial" w:hAnsi="Arial" w:cs="Arial"/>
          <w:sz w:val="20"/>
          <w:szCs w:val="20"/>
        </w:rPr>
        <w:t>IdM</w:t>
      </w:r>
      <w:proofErr w:type="spellEnd"/>
      <w:r w:rsidRPr="000A558D">
        <w:rPr>
          <w:rFonts w:ascii="Arial" w:hAnsi="Arial" w:cs="Arial"/>
          <w:sz w:val="20"/>
          <w:szCs w:val="20"/>
        </w:rPr>
        <w:t xml:space="preserve"> a MS SCCM“ </w:t>
      </w:r>
    </w:p>
    <w:p w:rsidR="00E4670E" w:rsidRPr="004E2803" w:rsidRDefault="00E4670E" w:rsidP="00E4670E">
      <w:pPr>
        <w:spacing w:before="120" w:after="120" w:line="320" w:lineRule="atLeast"/>
        <w:jc w:val="both"/>
        <w:rPr>
          <w:rFonts w:asciiTheme="minorHAnsi" w:hAnsiTheme="minorHAnsi"/>
          <w:sz w:val="22"/>
          <w:szCs w:val="22"/>
        </w:rPr>
      </w:pPr>
      <w:r w:rsidRPr="000A558D">
        <w:rPr>
          <w:rFonts w:ascii="Arial" w:hAnsi="Arial" w:cs="Arial"/>
          <w:sz w:val="20"/>
          <w:szCs w:val="20"/>
        </w:rPr>
        <w:t xml:space="preserve">Z dlouholetých zkušeností Uchazeče s implementacemi výše uvedených systémů v ČR vyplývá, že jako nejvhodnější se v případě serverových systémů jeví využití anglických verzí produktů s plně </w:t>
      </w:r>
      <w:r w:rsidRPr="000A558D">
        <w:rPr>
          <w:rFonts w:ascii="Arial" w:hAnsi="Arial" w:cs="Arial"/>
          <w:sz w:val="20"/>
          <w:szCs w:val="20"/>
        </w:rPr>
        <w:lastRenderedPageBreak/>
        <w:t>nakonfigurovaným českým národním prostředím. Správci systémů zajišťujících správu serverových systémů z vlastních pracovních stanic pak mohou v případě potřeby využívat administrátorské nástroje s kompletní českou lokalizací, které jsou dostupné pro následující technologie:</w:t>
      </w:r>
    </w:p>
    <w:p w:rsidR="00E4670E" w:rsidRPr="000A558D" w:rsidRDefault="00E4670E" w:rsidP="00E4670E">
      <w:pPr>
        <w:pStyle w:val="Odstavecseseznamem"/>
        <w:numPr>
          <w:ilvl w:val="0"/>
          <w:numId w:val="32"/>
        </w:numPr>
        <w:spacing w:before="120" w:after="120" w:line="32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r w:rsidRPr="000A558D">
        <w:rPr>
          <w:rFonts w:ascii="Arial" w:hAnsi="Arial" w:cs="Arial"/>
          <w:sz w:val="20"/>
          <w:szCs w:val="20"/>
        </w:rPr>
        <w:t>Technologie založené na Windows Server (Active Directory, zásady skupiny, certifikační autorita atd.)</w:t>
      </w:r>
    </w:p>
    <w:p w:rsidR="00E4670E" w:rsidRPr="000A558D" w:rsidRDefault="00E4670E" w:rsidP="00E4670E">
      <w:pPr>
        <w:pStyle w:val="Odstavecseseznamem"/>
        <w:numPr>
          <w:ilvl w:val="0"/>
          <w:numId w:val="32"/>
        </w:numPr>
        <w:spacing w:before="120" w:after="120" w:line="32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r w:rsidRPr="000A558D">
        <w:rPr>
          <w:rFonts w:ascii="Arial" w:hAnsi="Arial" w:cs="Arial"/>
          <w:sz w:val="20"/>
          <w:szCs w:val="20"/>
        </w:rPr>
        <w:t>Exchange Server (pomocí webového rozhraní)</w:t>
      </w:r>
    </w:p>
    <w:p w:rsidR="00E4670E" w:rsidRPr="000A558D" w:rsidRDefault="00E4670E" w:rsidP="00E4670E">
      <w:pPr>
        <w:pStyle w:val="Odstavecseseznamem"/>
        <w:numPr>
          <w:ilvl w:val="0"/>
          <w:numId w:val="32"/>
        </w:numPr>
        <w:spacing w:before="120" w:after="120" w:line="32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A558D">
        <w:rPr>
          <w:rFonts w:ascii="Arial" w:hAnsi="Arial" w:cs="Arial"/>
          <w:sz w:val="20"/>
          <w:szCs w:val="20"/>
        </w:rPr>
        <w:t>System</w:t>
      </w:r>
      <w:proofErr w:type="spellEnd"/>
      <w:r w:rsidRPr="000A558D">
        <w:rPr>
          <w:rFonts w:ascii="Arial" w:hAnsi="Arial" w:cs="Arial"/>
          <w:sz w:val="20"/>
          <w:szCs w:val="20"/>
        </w:rPr>
        <w:t xml:space="preserve"> Center </w:t>
      </w:r>
      <w:proofErr w:type="spellStart"/>
      <w:r w:rsidRPr="000A558D">
        <w:rPr>
          <w:rFonts w:ascii="Arial" w:hAnsi="Arial" w:cs="Arial"/>
          <w:sz w:val="20"/>
          <w:szCs w:val="20"/>
        </w:rPr>
        <w:t>Operations</w:t>
      </w:r>
      <w:proofErr w:type="spellEnd"/>
      <w:r w:rsidRPr="000A5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A558D">
        <w:rPr>
          <w:rFonts w:ascii="Arial" w:hAnsi="Arial" w:cs="Arial"/>
          <w:sz w:val="20"/>
          <w:szCs w:val="20"/>
        </w:rPr>
        <w:t>Manager</w:t>
      </w:r>
      <w:proofErr w:type="spellEnd"/>
      <w:r w:rsidRPr="000A558D">
        <w:rPr>
          <w:rFonts w:ascii="Arial" w:hAnsi="Arial" w:cs="Arial"/>
          <w:sz w:val="20"/>
          <w:szCs w:val="20"/>
        </w:rPr>
        <w:t xml:space="preserve">  </w:t>
      </w:r>
    </w:p>
    <w:p w:rsidR="00E4670E" w:rsidRPr="000A558D" w:rsidRDefault="00E4670E" w:rsidP="00E4670E">
      <w:pPr>
        <w:pStyle w:val="Odstavecseseznamem"/>
        <w:numPr>
          <w:ilvl w:val="0"/>
          <w:numId w:val="32"/>
        </w:numPr>
        <w:spacing w:before="120" w:after="120" w:line="32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A558D">
        <w:rPr>
          <w:rFonts w:ascii="Arial" w:hAnsi="Arial" w:cs="Arial"/>
          <w:sz w:val="20"/>
          <w:szCs w:val="20"/>
        </w:rPr>
        <w:t>System</w:t>
      </w:r>
      <w:proofErr w:type="spellEnd"/>
      <w:r w:rsidRPr="000A558D">
        <w:rPr>
          <w:rFonts w:ascii="Arial" w:hAnsi="Arial" w:cs="Arial"/>
          <w:sz w:val="20"/>
          <w:szCs w:val="20"/>
        </w:rPr>
        <w:t xml:space="preserve"> Center </w:t>
      </w:r>
      <w:proofErr w:type="spellStart"/>
      <w:r w:rsidRPr="000A558D">
        <w:rPr>
          <w:rFonts w:ascii="Arial" w:hAnsi="Arial" w:cs="Arial"/>
          <w:sz w:val="20"/>
          <w:szCs w:val="20"/>
        </w:rPr>
        <w:t>Configuration</w:t>
      </w:r>
      <w:proofErr w:type="spellEnd"/>
      <w:r w:rsidRPr="000A5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A558D">
        <w:rPr>
          <w:rFonts w:ascii="Arial" w:hAnsi="Arial" w:cs="Arial"/>
          <w:sz w:val="20"/>
          <w:szCs w:val="20"/>
        </w:rPr>
        <w:t>Manager</w:t>
      </w:r>
      <w:proofErr w:type="spellEnd"/>
      <w:r w:rsidRPr="000A558D">
        <w:rPr>
          <w:rFonts w:ascii="Arial" w:hAnsi="Arial" w:cs="Arial"/>
          <w:sz w:val="20"/>
          <w:szCs w:val="20"/>
        </w:rPr>
        <w:t xml:space="preserve"> </w:t>
      </w:r>
    </w:p>
    <w:p w:rsidR="00E4670E" w:rsidRPr="000A558D" w:rsidRDefault="00E4670E" w:rsidP="00E4670E">
      <w:pPr>
        <w:pStyle w:val="Odstavecseseznamem"/>
        <w:numPr>
          <w:ilvl w:val="0"/>
          <w:numId w:val="32"/>
        </w:numPr>
        <w:spacing w:before="120" w:after="120" w:line="32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A558D">
        <w:rPr>
          <w:rFonts w:ascii="Arial" w:hAnsi="Arial" w:cs="Arial"/>
          <w:sz w:val="20"/>
          <w:szCs w:val="20"/>
        </w:rPr>
        <w:t>ForeFront</w:t>
      </w:r>
      <w:proofErr w:type="spellEnd"/>
      <w:r w:rsidRPr="000A558D">
        <w:rPr>
          <w:rFonts w:ascii="Arial" w:hAnsi="Arial" w:cs="Arial"/>
          <w:sz w:val="20"/>
          <w:szCs w:val="20"/>
        </w:rPr>
        <w:t xml:space="preserve"> Identity </w:t>
      </w:r>
      <w:proofErr w:type="spellStart"/>
      <w:r w:rsidRPr="000A558D">
        <w:rPr>
          <w:rFonts w:ascii="Arial" w:hAnsi="Arial" w:cs="Arial"/>
          <w:sz w:val="20"/>
          <w:szCs w:val="20"/>
        </w:rPr>
        <w:t>Manager</w:t>
      </w:r>
      <w:proofErr w:type="spellEnd"/>
    </w:p>
    <w:p w:rsidR="001809A5" w:rsidRPr="000A558D" w:rsidRDefault="00E4670E" w:rsidP="00E4670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A558D">
        <w:rPr>
          <w:rFonts w:ascii="Arial" w:hAnsi="Arial" w:cs="Arial"/>
          <w:sz w:val="20"/>
          <w:szCs w:val="20"/>
        </w:rPr>
        <w:t>Umožní tedy Zadavatel Uchazeči realizovat výše popsaný přístup s využitím anglických verzí serverových produktů s nakonfigurovaným českým národním prostředí a administrátorskými nástroji s kompletní českou lokalizací?</w:t>
      </w: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BF71D1" w:rsidRDefault="001D72E0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2B6D5B">
        <w:rPr>
          <w:rFonts w:ascii="Arial" w:hAnsi="Arial" w:cs="Arial"/>
          <w:sz w:val="20"/>
          <w:szCs w:val="20"/>
          <w:lang w:eastAsia="en-US" w:bidi="en-US"/>
        </w:rPr>
        <w:t xml:space="preserve">Zadavatel </w:t>
      </w:r>
      <w:r w:rsidR="00962D60" w:rsidRPr="002B6D5B">
        <w:rPr>
          <w:rFonts w:ascii="Arial" w:hAnsi="Arial" w:cs="Arial"/>
          <w:sz w:val="20"/>
          <w:szCs w:val="20"/>
          <w:lang w:eastAsia="en-US" w:bidi="en-US"/>
        </w:rPr>
        <w:t xml:space="preserve">odkazuje na odpověď č. 3 Dodatečných informací XIV. Dále Zadavatel </w:t>
      </w:r>
      <w:r w:rsidR="002B6D5B">
        <w:rPr>
          <w:rFonts w:ascii="Arial" w:hAnsi="Arial" w:cs="Arial"/>
          <w:sz w:val="20"/>
          <w:szCs w:val="20"/>
          <w:lang w:eastAsia="en-US" w:bidi="en-US"/>
        </w:rPr>
        <w:t xml:space="preserve">uvádí, že </w:t>
      </w:r>
      <w:r w:rsidR="00962D60" w:rsidRPr="002B6D5B">
        <w:rPr>
          <w:rFonts w:ascii="Arial" w:hAnsi="Arial" w:cs="Arial"/>
          <w:sz w:val="20"/>
          <w:szCs w:val="20"/>
          <w:lang w:eastAsia="en-US" w:bidi="en-US"/>
        </w:rPr>
        <w:t xml:space="preserve">trvá na splnění požadavku dle bodu 2.3.2 přílohy č. 6 Zadávací dokumentace </w:t>
      </w:r>
      <w:r w:rsidR="002B6D5B">
        <w:rPr>
          <w:rFonts w:ascii="Arial" w:hAnsi="Arial" w:cs="Arial"/>
          <w:sz w:val="20"/>
          <w:szCs w:val="20"/>
          <w:lang w:eastAsia="en-US" w:bidi="en-US"/>
        </w:rPr>
        <w:t>této veřejné zakázky (např. podpora</w:t>
      </w:r>
      <w:r w:rsidR="00962D60" w:rsidRPr="002B6D5B">
        <w:rPr>
          <w:rFonts w:ascii="Arial" w:hAnsi="Arial" w:cs="Arial"/>
          <w:sz w:val="20"/>
          <w:szCs w:val="20"/>
          <w:lang w:eastAsia="en-US" w:bidi="en-US"/>
        </w:rPr>
        <w:t xml:space="preserve"> národních z</w:t>
      </w:r>
      <w:r w:rsidR="002B6D5B">
        <w:rPr>
          <w:rFonts w:ascii="Arial" w:hAnsi="Arial" w:cs="Arial"/>
          <w:sz w:val="20"/>
          <w:szCs w:val="20"/>
          <w:lang w:eastAsia="en-US" w:bidi="en-US"/>
        </w:rPr>
        <w:t xml:space="preserve">nakových sad v uvedeném rozsahu, </w:t>
      </w:r>
      <w:r w:rsidR="00962D60" w:rsidRPr="002B6D5B">
        <w:rPr>
          <w:rFonts w:ascii="Arial" w:hAnsi="Arial" w:cs="Arial"/>
          <w:sz w:val="20"/>
          <w:szCs w:val="20"/>
        </w:rPr>
        <w:t>všechny webové přístupy k implementovaným produktům pro koncového uživatele v českém jazyce</w:t>
      </w:r>
      <w:r w:rsidR="002B6D5B">
        <w:rPr>
          <w:rFonts w:ascii="Arial" w:hAnsi="Arial" w:cs="Arial"/>
          <w:sz w:val="20"/>
          <w:szCs w:val="20"/>
        </w:rPr>
        <w:t>, apod.)</w:t>
      </w:r>
      <w:r w:rsidR="00962D60" w:rsidRPr="002B6D5B">
        <w:rPr>
          <w:rFonts w:ascii="Arial" w:hAnsi="Arial" w:cs="Arial"/>
          <w:sz w:val="20"/>
          <w:szCs w:val="20"/>
        </w:rPr>
        <w:t>.</w:t>
      </w:r>
      <w:r w:rsidR="00F60F0A" w:rsidRPr="002B6D5B">
        <w:rPr>
          <w:rFonts w:ascii="Arial" w:hAnsi="Arial" w:cs="Arial"/>
          <w:sz w:val="20"/>
          <w:szCs w:val="20"/>
        </w:rPr>
        <w:t xml:space="preserve"> </w:t>
      </w:r>
      <w:r w:rsidR="00ED1D89" w:rsidRPr="002B6D5B">
        <w:rPr>
          <w:rFonts w:ascii="Arial" w:hAnsi="Arial" w:cs="Arial"/>
          <w:sz w:val="20"/>
          <w:szCs w:val="20"/>
        </w:rPr>
        <w:t>Při dodržení uvedených požadavků je možné akceptovat také variantu s využitím anglických verzí serverových produktů s nakonfigurovaným českým národním prostředím a administrátorskými nástroji s kompletní českou lokalizací.</w:t>
      </w:r>
    </w:p>
    <w:p w:rsidR="00BF71D1" w:rsidRDefault="00BF71D1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1809A5" w:rsidRPr="00040199" w:rsidRDefault="00BF71D1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1809A5">
        <w:rPr>
          <w:rFonts w:ascii="Arial" w:hAnsi="Arial" w:cs="Arial"/>
          <w:b/>
          <w:sz w:val="20"/>
          <w:szCs w:val="20"/>
        </w:rPr>
        <w:t xml:space="preserve">Dotaz č. </w:t>
      </w:r>
      <w:r w:rsidR="001809A5">
        <w:rPr>
          <w:rFonts w:ascii="Arial" w:hAnsi="Arial" w:cs="Arial"/>
          <w:b/>
          <w:sz w:val="20"/>
          <w:szCs w:val="20"/>
        </w:rPr>
        <w:fldChar w:fldCharType="begin"/>
      </w:r>
      <w:r w:rsidR="001809A5"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1809A5">
        <w:rPr>
          <w:rFonts w:ascii="Arial" w:hAnsi="Arial" w:cs="Arial"/>
          <w:b/>
          <w:sz w:val="20"/>
          <w:szCs w:val="20"/>
        </w:rPr>
        <w:fldChar w:fldCharType="end"/>
      </w:r>
      <w:r w:rsidR="001809A5" w:rsidRPr="00040199">
        <w:rPr>
          <w:rFonts w:ascii="Arial" w:hAnsi="Arial" w:cs="Arial"/>
          <w:b/>
          <w:sz w:val="20"/>
          <w:szCs w:val="20"/>
        </w:rPr>
        <w:t>:</w:t>
      </w:r>
    </w:p>
    <w:p w:rsidR="000A558D" w:rsidRPr="000A558D" w:rsidRDefault="000A558D" w:rsidP="000A558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A558D">
        <w:rPr>
          <w:rFonts w:ascii="Arial" w:hAnsi="Arial" w:cs="Arial"/>
          <w:sz w:val="20"/>
          <w:szCs w:val="20"/>
          <w:lang w:eastAsia="en-US" w:bidi="en-US"/>
        </w:rPr>
        <w:t xml:space="preserve">V příloze č. 8 zadávací dokumentace Zadavatel uvádí: “2.3. Uchazeč v této kapitole popíše splnění požadavků zadavatele kladených na realizaci předmětu plnění dle kap. 2.4.1 – 2.4.6 Přílohy č. 6 Zadávací dokumentace, včetně uvedení odkazu na konkrétní </w:t>
      </w:r>
      <w:proofErr w:type="spellStart"/>
      <w:r w:rsidRPr="000A558D">
        <w:rPr>
          <w:rFonts w:ascii="Arial" w:hAnsi="Arial" w:cs="Arial"/>
          <w:sz w:val="20"/>
          <w:szCs w:val="20"/>
          <w:lang w:eastAsia="en-US" w:bidi="en-US"/>
        </w:rPr>
        <w:t>kod</w:t>
      </w:r>
      <w:proofErr w:type="spellEnd"/>
      <w:r w:rsidRPr="000A558D">
        <w:rPr>
          <w:rFonts w:ascii="Arial" w:hAnsi="Arial" w:cs="Arial"/>
          <w:sz w:val="20"/>
          <w:szCs w:val="20"/>
          <w:lang w:eastAsia="en-US" w:bidi="en-US"/>
        </w:rPr>
        <w:t xml:space="preserve"> požadavku zadavatele.”</w:t>
      </w:r>
    </w:p>
    <w:p w:rsidR="001809A5" w:rsidRPr="00040199" w:rsidRDefault="000A558D" w:rsidP="000A558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A558D">
        <w:rPr>
          <w:rFonts w:ascii="Arial" w:hAnsi="Arial" w:cs="Arial"/>
          <w:sz w:val="20"/>
          <w:szCs w:val="20"/>
          <w:lang w:eastAsia="en-US" w:bidi="en-US"/>
        </w:rPr>
        <w:t xml:space="preserve">Může zadavatel upřesnit, co Zadavatel rozumí “konkrétním kódem požadavku zadavatele”, kde v zadávací dokumentaci či jejich přílohách jsou tyto kódy požadavků uvedeny? Dále, může zadavatel upřesnit celkový počet požadavků v příloze č. 6 Funkční a technické požadavky z kapitol 2.3.1 až </w:t>
      </w:r>
      <w:proofErr w:type="gramStart"/>
      <w:r w:rsidRPr="000A558D">
        <w:rPr>
          <w:rFonts w:ascii="Arial" w:hAnsi="Arial" w:cs="Arial"/>
          <w:sz w:val="20"/>
          <w:szCs w:val="20"/>
          <w:lang w:eastAsia="en-US" w:bidi="en-US"/>
        </w:rPr>
        <w:t>2.4.6 u kterých</w:t>
      </w:r>
      <w:proofErr w:type="gramEnd"/>
      <w:r w:rsidRPr="000A558D">
        <w:rPr>
          <w:rFonts w:ascii="Arial" w:hAnsi="Arial" w:cs="Arial"/>
          <w:sz w:val="20"/>
          <w:szCs w:val="20"/>
          <w:lang w:eastAsia="en-US" w:bidi="en-US"/>
        </w:rPr>
        <w:t xml:space="preserve"> má uchazeč deklarovat, zda a jakým způsobem tyto požadavky splňuje?</w:t>
      </w: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A269C8" w:rsidRDefault="00A269C8" w:rsidP="00A269C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 se týče dotazu na „</w:t>
      </w:r>
      <w:r>
        <w:rPr>
          <w:rFonts w:ascii="Arial" w:hAnsi="Arial" w:cs="Arial"/>
          <w:i/>
          <w:iCs/>
          <w:sz w:val="20"/>
          <w:szCs w:val="20"/>
        </w:rPr>
        <w:t>kód požadavku zadavatele</w:t>
      </w:r>
      <w:r>
        <w:rPr>
          <w:rFonts w:ascii="Arial" w:hAnsi="Arial" w:cs="Arial"/>
          <w:sz w:val="20"/>
          <w:szCs w:val="20"/>
        </w:rPr>
        <w:t xml:space="preserve">“, zadavatel opakovaně odkazuje na odpověď na dotaz č. 2 poskytnutou v rámci dodatečných informací č. IV, odpověď na dotaz č. 1 poskytnutou v rámci dodatečných informací č. XII, odpověď na dotaz č. 9 poskytnutou v rámci dodatečných informací č. XIV a odpověď na dotaz č. 3 poskytnutou v rámci dodatečných informací č. XIX. Platí tedy, že v rámci této veřejné zakázky nejsou konkrétní požadavky zadavatele označeny kódem, tyto kódy tak není nezbytné uvádět. </w:t>
      </w:r>
    </w:p>
    <w:p w:rsidR="00A269C8" w:rsidRDefault="00A269C8" w:rsidP="00A269C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Konečně co se týče dotazu na počet požadavků, u kterých zadavatel požaduje deklarovat jejich splnění, zadavatel k tomuto uvádí, že požaduje popsat splnění </w:t>
      </w:r>
      <w:r>
        <w:rPr>
          <w:rFonts w:ascii="Arial" w:hAnsi="Arial" w:cs="Arial"/>
          <w:b/>
          <w:bCs/>
          <w:sz w:val="20"/>
          <w:szCs w:val="20"/>
        </w:rPr>
        <w:t>veškerých</w:t>
      </w:r>
      <w:r>
        <w:rPr>
          <w:rFonts w:ascii="Arial" w:hAnsi="Arial" w:cs="Arial"/>
          <w:sz w:val="20"/>
          <w:szCs w:val="20"/>
        </w:rPr>
        <w:t xml:space="preserve"> požadavků obsažených v kapitolách, na které odkazuje Příloha č. 8 Zadávací dokumentace. </w:t>
      </w:r>
    </w:p>
    <w:p w:rsidR="00922DA8" w:rsidRDefault="00922DA8" w:rsidP="001D5F52">
      <w:pPr>
        <w:rPr>
          <w:rFonts w:ascii="Arial" w:hAnsi="Arial" w:cs="Arial"/>
          <w:sz w:val="20"/>
          <w:szCs w:val="20"/>
        </w:rPr>
      </w:pPr>
    </w:p>
    <w:p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1E314D">
        <w:rPr>
          <w:rFonts w:ascii="Arial" w:hAnsi="Arial" w:cs="Arial"/>
          <w:sz w:val="20"/>
          <w:szCs w:val="20"/>
          <w:lang w:eastAsia="en-US" w:bidi="en-US"/>
        </w:rPr>
        <w:t>16. 2. 2015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BB6" w:rsidRDefault="00E45BB6">
      <w:r>
        <w:separator/>
      </w:r>
    </w:p>
  </w:endnote>
  <w:endnote w:type="continuationSeparator" w:id="0">
    <w:p w:rsidR="00E45BB6" w:rsidRDefault="00E45BB6">
      <w:r>
        <w:continuationSeparator/>
      </w:r>
    </w:p>
  </w:endnote>
  <w:endnote w:type="continuationNotice" w:id="1">
    <w:p w:rsidR="00E45BB6" w:rsidRDefault="00E45B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91805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91805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BB6" w:rsidRDefault="00E45BB6">
      <w:r>
        <w:separator/>
      </w:r>
    </w:p>
  </w:footnote>
  <w:footnote w:type="continuationSeparator" w:id="0">
    <w:p w:rsidR="00E45BB6" w:rsidRDefault="00E45BB6">
      <w:r>
        <w:continuationSeparator/>
      </w:r>
    </w:p>
  </w:footnote>
  <w:footnote w:type="continuationNotice" w:id="1">
    <w:p w:rsidR="00E45BB6" w:rsidRDefault="00E45BB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620941"/>
    <w:multiLevelType w:val="hybridMultilevel"/>
    <w:tmpl w:val="7C72AC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8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7"/>
  </w:num>
  <w:num w:numId="11">
    <w:abstractNumId w:val="5"/>
  </w:num>
  <w:num w:numId="12">
    <w:abstractNumId w:val="10"/>
  </w:num>
  <w:num w:numId="13">
    <w:abstractNumId w:val="14"/>
  </w:num>
  <w:num w:numId="14">
    <w:abstractNumId w:val="26"/>
  </w:num>
  <w:num w:numId="15">
    <w:abstractNumId w:val="24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8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5"/>
  </w:num>
  <w:num w:numId="32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A558D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09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2E0"/>
    <w:rsid w:val="001D7BD8"/>
    <w:rsid w:val="001D7D3D"/>
    <w:rsid w:val="001E314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D5B"/>
    <w:rsid w:val="002C2462"/>
    <w:rsid w:val="002D09D7"/>
    <w:rsid w:val="002D4DB5"/>
    <w:rsid w:val="002D75C0"/>
    <w:rsid w:val="002E4C77"/>
    <w:rsid w:val="002F339F"/>
    <w:rsid w:val="002F3E48"/>
    <w:rsid w:val="002F5093"/>
    <w:rsid w:val="002F5CEB"/>
    <w:rsid w:val="002F6D82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A3B08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25BC"/>
    <w:rsid w:val="0067413C"/>
    <w:rsid w:val="006856A7"/>
    <w:rsid w:val="006873B5"/>
    <w:rsid w:val="00690E6E"/>
    <w:rsid w:val="00691805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26E71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109E3"/>
    <w:rsid w:val="00922DA8"/>
    <w:rsid w:val="009326FB"/>
    <w:rsid w:val="00937265"/>
    <w:rsid w:val="009406BA"/>
    <w:rsid w:val="00942B06"/>
    <w:rsid w:val="00942DF9"/>
    <w:rsid w:val="0095733F"/>
    <w:rsid w:val="00962220"/>
    <w:rsid w:val="00962703"/>
    <w:rsid w:val="00962D60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69C8"/>
    <w:rsid w:val="00A27E39"/>
    <w:rsid w:val="00A311F3"/>
    <w:rsid w:val="00A31705"/>
    <w:rsid w:val="00A36FB7"/>
    <w:rsid w:val="00A44171"/>
    <w:rsid w:val="00A52940"/>
    <w:rsid w:val="00A615BF"/>
    <w:rsid w:val="00A642BE"/>
    <w:rsid w:val="00A76BFB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BF71D1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5BB6"/>
    <w:rsid w:val="00E4670E"/>
    <w:rsid w:val="00E46BD6"/>
    <w:rsid w:val="00E50D50"/>
    <w:rsid w:val="00E54136"/>
    <w:rsid w:val="00E54B54"/>
    <w:rsid w:val="00E54BF0"/>
    <w:rsid w:val="00E63E08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1D89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0F0A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E73A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hvpSzxevg9lMrv2qSITqWovMymA=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CuhBafsZBFxwreLio2VVG60bDgk=</DigestValue>
    </Reference>
  </SignedInfo>
  <SignatureValue>UEOT2kJZGEq9Eqjhl0HrSieCTHqXD66LttBMOQTrVqfdDcy5cDLbP2OqYjUuJEPZEiA7tFn2AV6N
RRjGbEB4dxRVSaIYBJAefG1Gi75xZNqsGVaejDXgnXMcYY5lT/U0RzYqFTfhbSvJKiVjuUofwgZH
WeKIrS5I6DGstiyCZPAwU8R5U0yR4tu7aGzQD8vEwAMTG1M9OYCJ5S3Fm38AQqP87td/iHmW+N3T
OqQ5ezeCSra97LQ+zJDeONPZphHaPp8twuea/wCgVmD9KSXBNUK7glUwlxeodIKvtM9p2TFsDngY
RfRGnanvObMBkGME6BZK8+RcEN0ujKZEe3buvg==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yJSAii097CysruDKN+XCQsRLUtc=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qlQUXu/BCLMCOuvbCPLkaDGmJcc=</DigestValue>
      </Reference>
      <Reference URI="/word/webSettings.xml?ContentType=application/vnd.openxmlformats-officedocument.wordprocessingml.webSettings+xml">
        <DigestMethod Algorithm="http://www.w3.org/2000/09/xmldsig#sha1"/>
        <DigestValue>uPJuF1FZhiaa2Ov8WoiRyzE7uUA=</DigestValue>
      </Reference>
      <Reference URI="/word/numbering.xml?ContentType=application/vnd.openxmlformats-officedocument.wordprocessingml.numbering+xml">
        <DigestMethod Algorithm="http://www.w3.org/2000/09/xmldsig#sha1"/>
        <DigestValue>GcjEv96RZayOwy0c481N3dxW1/E=</DigestValue>
      </Reference>
      <Reference URI="/word/styles.xml?ContentType=application/vnd.openxmlformats-officedocument.wordprocessingml.styles+xml">
        <DigestMethod Algorithm="http://www.w3.org/2000/09/xmldsig#sha1"/>
        <DigestValue>R1H0T84mMx1jw3Rm7QyGOV8OUmo=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7fRuoY3PlGWQ+uadDRFBDO/GQp8=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gja7qA98cqC5G7F5kByH7WC7z+o=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pj48i2FoyL7niv9/qqRn9OJAaMc=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tuWQW3otxdlQxO54G7BOFrrMr8s=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2015-02-16T14:35:23Z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2015-02-16T14:35:23Z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5e6c6c5c-474c-4ef7-b7d6-59a0e77cc256"/>
    <ds:schemaRef ds:uri="http://purl.org/dc/terms/"/>
    <ds:schemaRef ds:uri="http://schemas.openxmlformats.org/package/2006/metadata/core-properties"/>
    <ds:schemaRef ds:uri="8662c659-72ab-411b-b755-fbef5cbbde18"/>
    <ds:schemaRef ds:uri="4085a4f5-5f40-4143-b221-75ee5dde648a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8CD017-8CB7-42D2-9DF3-FFEAA0197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Pernica</dc:creator>
  <cp:lastModifiedBy>Najmanová Alena Ing. (MPSV)</cp:lastModifiedBy>
  <cp:revision>4</cp:revision>
  <cp:lastPrinted>2015-02-16T14:34:00Z</cp:lastPrinted>
  <dcterms:created xsi:type="dcterms:W3CDTF">2015-02-16T14:07:00Z</dcterms:created>
  <dcterms:modified xsi:type="dcterms:W3CDTF">2015-02-16T14:35:00Z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