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12CF" w:rsidP="00C776F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974F0">
              <w:rPr>
                <w:rFonts w:cs="Arial"/>
                <w:i/>
                <w:color w:val="808080" w:themeColor="background1" w:themeShade="80"/>
                <w:szCs w:val="20"/>
              </w:rPr>
              <w:t>2</w:t>
            </w:r>
            <w:r w:rsidR="00C776F5" w:rsidRPr="001974F0">
              <w:rPr>
                <w:rFonts w:cs="Arial"/>
                <w:i/>
                <w:color w:val="808080" w:themeColor="background1" w:themeShade="80"/>
                <w:szCs w:val="20"/>
              </w:rPr>
              <w:t>6</w:t>
            </w:r>
            <w:r w:rsidR="005460A7" w:rsidRPr="001974F0">
              <w:rPr>
                <w:rFonts w:cs="Arial"/>
                <w:i/>
                <w:color w:val="808080" w:themeColor="background1" w:themeShade="80"/>
                <w:szCs w:val="20"/>
              </w:rPr>
              <w:t>. 6.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384DA8" w:rsidP="000F702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Praha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</w:t>
            </w:r>
            <w:r w:rsidR="001974F0">
              <w:rPr>
                <w:rFonts w:cs="Arial"/>
                <w:i/>
                <w:color w:val="808080" w:themeColor="background1" w:themeShade="80"/>
                <w:szCs w:val="20"/>
              </w:rPr>
              <w:t>ou dostupnou z</w:t>
            </w:r>
            <w:r w:rsidR="000F7025">
              <w:rPr>
                <w:rFonts w:cs="Arial"/>
                <w:i/>
                <w:color w:val="808080" w:themeColor="background1" w:themeShade="80"/>
                <w:szCs w:val="20"/>
              </w:rPr>
              <w:t xml:space="preserve"> Hlavního </w:t>
            </w:r>
            <w:r w:rsidR="001974F0">
              <w:rPr>
                <w:rFonts w:cs="Arial"/>
                <w:i/>
                <w:color w:val="808080" w:themeColor="background1" w:themeShade="80"/>
                <w:szCs w:val="20"/>
              </w:rPr>
              <w:t xml:space="preserve">Nádraží ČD nebo  </w:t>
            </w:r>
            <w:r w:rsidR="000F7025"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utobusového nádraží</w:t>
            </w:r>
            <w:r w:rsidR="000F7025">
              <w:rPr>
                <w:rFonts w:cs="Arial"/>
                <w:i/>
                <w:color w:val="808080" w:themeColor="background1" w:themeShade="80"/>
                <w:szCs w:val="20"/>
              </w:rPr>
              <w:t xml:space="preserve"> Florenc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</w:t>
            </w:r>
            <w:r w:rsidR="00233E7C">
              <w:rPr>
                <w:rFonts w:cs="Arial"/>
                <w:i/>
                <w:color w:val="808080" w:themeColor="background1" w:themeShade="80"/>
                <w:szCs w:val="20"/>
              </w:rPr>
              <w:t>20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233E7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</w:t>
            </w:r>
            <w:r w:rsidR="00233E7C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bookmarkStart w:id="0" w:name="_GoBack"/>
            <w:bookmarkEnd w:id="0"/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23035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D23035" w:rsidRPr="00D23035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</w:t>
            </w:r>
            <w:r w:rsidR="00D23035">
              <w:rPr>
                <w:rFonts w:cs="Arial"/>
                <w:i/>
                <w:color w:val="808080" w:themeColor="background1" w:themeShade="80"/>
                <w:szCs w:val="20"/>
              </w:rPr>
              <w:t>řesněn 3 dny</w:t>
            </w:r>
            <w:r w:rsidR="00D23035" w:rsidRPr="00D23035">
              <w:rPr>
                <w:rFonts w:cs="Arial"/>
                <w:i/>
                <w:color w:val="808080" w:themeColor="background1" w:themeShade="80"/>
                <w:szCs w:val="20"/>
              </w:rPr>
              <w:t xml:space="preserve">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7A4467" w:rsidP="007A4467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7A4467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7A4467" w:rsidRPr="007A4467" w:rsidRDefault="007A4467" w:rsidP="007A446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</w:t>
            </w:r>
            <w:r w:rsidR="000F7025">
              <w:rPr>
                <w:rFonts w:cs="Arial"/>
                <w:i/>
                <w:color w:val="808080" w:themeColor="background1" w:themeShade="80"/>
                <w:szCs w:val="20"/>
              </w:rPr>
              <w:t>m v elektronické podobě ve formátu A4 min. den před konáním semináře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018" w:rsidRDefault="00CC0018" w:rsidP="005460A7">
      <w:pPr>
        <w:spacing w:after="0" w:line="240" w:lineRule="auto"/>
      </w:pPr>
      <w:r>
        <w:separator/>
      </w:r>
    </w:p>
  </w:endnote>
  <w:endnote w:type="continuationSeparator" w:id="0">
    <w:p w:rsidR="00CC0018" w:rsidRDefault="00CC0018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018" w:rsidRDefault="00CC0018" w:rsidP="005460A7">
      <w:pPr>
        <w:spacing w:after="0" w:line="240" w:lineRule="auto"/>
      </w:pPr>
      <w:r>
        <w:separator/>
      </w:r>
    </w:p>
  </w:footnote>
  <w:footnote w:type="continuationSeparator" w:id="0">
    <w:p w:rsidR="00CC0018" w:rsidRDefault="00CC0018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F7025"/>
    <w:rsid w:val="00160D7D"/>
    <w:rsid w:val="00184DF6"/>
    <w:rsid w:val="001974F0"/>
    <w:rsid w:val="0022617F"/>
    <w:rsid w:val="00233E7C"/>
    <w:rsid w:val="00384DA8"/>
    <w:rsid w:val="003C3244"/>
    <w:rsid w:val="00495C2A"/>
    <w:rsid w:val="005460A7"/>
    <w:rsid w:val="006256BB"/>
    <w:rsid w:val="006462C0"/>
    <w:rsid w:val="006B321E"/>
    <w:rsid w:val="007036FB"/>
    <w:rsid w:val="007A4467"/>
    <w:rsid w:val="00895BBA"/>
    <w:rsid w:val="009B0607"/>
    <w:rsid w:val="00A305D0"/>
    <w:rsid w:val="00A51352"/>
    <w:rsid w:val="00AE706C"/>
    <w:rsid w:val="00AF50AC"/>
    <w:rsid w:val="00B54A05"/>
    <w:rsid w:val="00B934E0"/>
    <w:rsid w:val="00C776F5"/>
    <w:rsid w:val="00C960F9"/>
    <w:rsid w:val="00CC0018"/>
    <w:rsid w:val="00D0099E"/>
    <w:rsid w:val="00D23035"/>
    <w:rsid w:val="00DE12CF"/>
    <w:rsid w:val="00F42C59"/>
    <w:rsid w:val="00FA3C6B"/>
    <w:rsid w:val="00FE0109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70B01-216E-41E0-BF49-786FB4D0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6</cp:revision>
  <dcterms:created xsi:type="dcterms:W3CDTF">2017-04-28T06:49:00Z</dcterms:created>
  <dcterms:modified xsi:type="dcterms:W3CDTF">2017-05-16T05:57:00Z</dcterms:modified>
</cp:coreProperties>
</file>