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50" w:rsidRPr="00BA6DDA" w:rsidRDefault="00511150" w:rsidP="00BA6DDA">
      <w:pPr>
        <w:pStyle w:val="Zhlav"/>
        <w:spacing w:line="276" w:lineRule="auto"/>
        <w:rPr>
          <w:rFonts w:ascii="Calibri" w:hAnsi="Calibri" w:cs="Arial"/>
          <w:b/>
          <w:sz w:val="22"/>
          <w:szCs w:val="22"/>
        </w:rPr>
      </w:pPr>
      <w:r w:rsidRPr="00BA6DDA">
        <w:rPr>
          <w:rFonts w:ascii="Calibri" w:hAnsi="Calibri" w:cs="Arial"/>
          <w:b/>
          <w:sz w:val="22"/>
          <w:szCs w:val="22"/>
        </w:rPr>
        <w:t>Příloha č. 2</w:t>
      </w:r>
      <w:r>
        <w:rPr>
          <w:rFonts w:ascii="Calibri" w:hAnsi="Calibri" w:cs="Arial"/>
          <w:b/>
          <w:sz w:val="22"/>
          <w:szCs w:val="22"/>
        </w:rPr>
        <w:t>c</w:t>
      </w:r>
    </w:p>
    <w:p w:rsidR="00511150" w:rsidRPr="00BA6DDA" w:rsidRDefault="00511150" w:rsidP="00BA6DDA">
      <w:pPr>
        <w:spacing w:line="276" w:lineRule="auto"/>
        <w:jc w:val="center"/>
        <w:rPr>
          <w:rFonts w:ascii="Calibri" w:hAnsi="Calibri" w:cs="Arial"/>
          <w:b/>
          <w:sz w:val="28"/>
          <w:szCs w:val="28"/>
        </w:rPr>
      </w:pPr>
      <w:r w:rsidRPr="00BA6DDA">
        <w:rPr>
          <w:rFonts w:ascii="Calibri" w:hAnsi="Calibri" w:cs="Arial"/>
          <w:b/>
          <w:sz w:val="28"/>
          <w:szCs w:val="28"/>
        </w:rPr>
        <w:t xml:space="preserve"> Rámcová smlouva</w:t>
      </w:r>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BA6DDA">
        <w:rPr>
          <w:rFonts w:ascii="Calibri" w:hAnsi="Calibri" w:cs="Arial"/>
          <w:b/>
          <w:sz w:val="28"/>
          <w:szCs w:val="28"/>
        </w:rPr>
        <w:t>o</w:t>
      </w:r>
      <w:proofErr w:type="gramEnd"/>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BA6DDA">
        <w:rPr>
          <w:rFonts w:ascii="Calibri" w:hAnsi="Calibri" w:cs="Arial"/>
          <w:b/>
          <w:sz w:val="28"/>
          <w:szCs w:val="28"/>
          <w:lang w:val="cs-CZ"/>
        </w:rPr>
        <w:t>poskytování terénních a ambulantních služeb pro rodiny a děti</w:t>
      </w:r>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BA6DDA">
        <w:rPr>
          <w:rFonts w:ascii="Calibri" w:hAnsi="Calibri" w:cs="Arial"/>
          <w:szCs w:val="24"/>
          <w:lang w:val="cs-CZ"/>
        </w:rPr>
        <w:t>(dále jen jako „Smlouva“)</w:t>
      </w:r>
    </w:p>
    <w:p w:rsidR="00511150" w:rsidRPr="00BA6DDA" w:rsidRDefault="00511150" w:rsidP="00BA6DDA">
      <w:pPr>
        <w:spacing w:line="276" w:lineRule="auto"/>
        <w:jc w:val="center"/>
        <w:rPr>
          <w:rFonts w:ascii="Calibri" w:hAnsi="Calibri" w:cs="Arial"/>
          <w:b/>
          <w:sz w:val="22"/>
          <w:szCs w:val="22"/>
        </w:rPr>
      </w:pPr>
    </w:p>
    <w:p w:rsidR="00511150" w:rsidRPr="00BA6DDA" w:rsidRDefault="00511150" w:rsidP="00BA6DDA">
      <w:pPr>
        <w:spacing w:line="276" w:lineRule="auto"/>
        <w:jc w:val="both"/>
        <w:rPr>
          <w:rFonts w:ascii="Calibri" w:hAnsi="Calibri" w:cs="Arial"/>
          <w:sz w:val="22"/>
          <w:szCs w:val="22"/>
        </w:rPr>
      </w:pPr>
      <w:r w:rsidRPr="00BA6DDA">
        <w:rPr>
          <w:rFonts w:ascii="Calibri" w:hAnsi="Calibri" w:cs="Arial"/>
          <w:sz w:val="22"/>
          <w:szCs w:val="22"/>
        </w:rPr>
        <w:t xml:space="preserve">uzavřená podle § </w:t>
      </w:r>
      <w:smartTag w:uri="urn:schemas-microsoft-com:office:smarttags" w:element="metricconverter">
        <w:smartTagPr>
          <w:attr w:name="ProductID" w:val="11 a"/>
        </w:smartTagPr>
        <w:r w:rsidRPr="00BA6DDA">
          <w:rPr>
            <w:rFonts w:ascii="Calibri" w:hAnsi="Calibri" w:cs="Arial"/>
            <w:sz w:val="22"/>
            <w:szCs w:val="22"/>
          </w:rPr>
          <w:t>11 a</w:t>
        </w:r>
      </w:smartTag>
      <w:r w:rsidRPr="00BA6DDA">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BA6DDA">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 xml:space="preserve"> </w:t>
      </w:r>
      <w:r w:rsidRPr="001733A7">
        <w:rPr>
          <w:rFonts w:ascii="Calibri" w:hAnsi="Calibri" w:cs="Arial"/>
        </w:rPr>
        <w:t xml:space="preserve">(dále jen </w:t>
      </w:r>
      <w:r>
        <w:rPr>
          <w:rFonts w:ascii="Calibri" w:hAnsi="Calibri" w:cs="Arial"/>
        </w:rPr>
        <w:t>„</w:t>
      </w:r>
      <w:r w:rsidRPr="001733A7">
        <w:rPr>
          <w:rFonts w:ascii="Calibri" w:hAnsi="Calibri" w:cs="Arial"/>
        </w:rPr>
        <w:t>občanský zákoník“)</w:t>
      </w:r>
      <w:r w:rsidRPr="00BA6DDA">
        <w:rPr>
          <w:rFonts w:ascii="Calibri" w:hAnsi="Calibri" w:cs="Arial"/>
          <w:sz w:val="22"/>
          <w:szCs w:val="22"/>
        </w:rPr>
        <w:t>, mezi smluvními stranami:</w:t>
      </w:r>
    </w:p>
    <w:p w:rsidR="00511150" w:rsidRPr="00BA6DDA" w:rsidRDefault="00511150" w:rsidP="00BA6DDA">
      <w:pPr>
        <w:spacing w:line="276" w:lineRule="auto"/>
        <w:rPr>
          <w:rFonts w:ascii="Calibri" w:hAnsi="Calibri" w:cs="Arial"/>
          <w:b/>
          <w:sz w:val="22"/>
          <w:szCs w:val="22"/>
        </w:rPr>
      </w:pPr>
    </w:p>
    <w:p w:rsidR="00511150" w:rsidRPr="00BA6DDA"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511150" w:rsidRPr="00E27813" w:rsidRDefault="00511150" w:rsidP="00BA6DDA">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C72518">
        <w:rPr>
          <w:rFonts w:ascii="Calibri" w:hAnsi="Calibri" w:cs="Arial"/>
          <w:sz w:val="22"/>
          <w:szCs w:val="22"/>
        </w:rPr>
        <w:t xml:space="preserve">Robinem </w:t>
      </w:r>
      <w:proofErr w:type="spellStart"/>
      <w:r w:rsidR="00C72518">
        <w:rPr>
          <w:rFonts w:ascii="Calibri" w:hAnsi="Calibri" w:cs="Arial"/>
          <w:sz w:val="22"/>
          <w:szCs w:val="22"/>
        </w:rPr>
        <w:t>Povšíkem</w:t>
      </w:r>
      <w:proofErr w:type="spellEnd"/>
      <w:r w:rsidRPr="00E27813">
        <w:rPr>
          <w:rFonts w:ascii="Calibri" w:hAnsi="Calibri" w:cs="Arial"/>
          <w:sz w:val="22"/>
          <w:szCs w:val="22"/>
        </w:rPr>
        <w:t xml:space="preserve">, </w:t>
      </w:r>
      <w:r w:rsidR="00C72518">
        <w:rPr>
          <w:rFonts w:ascii="Calibri" w:hAnsi="Calibri" w:cs="Arial"/>
        </w:rPr>
        <w:t>náměstk</w:t>
      </w:r>
      <w:r w:rsidR="00C72518">
        <w:rPr>
          <w:rFonts w:ascii="Calibri" w:hAnsi="Calibri" w:cs="Arial"/>
        </w:rPr>
        <w:t>em</w:t>
      </w:r>
      <w:r w:rsidR="00C72518">
        <w:rPr>
          <w:rFonts w:ascii="Calibri" w:hAnsi="Calibri" w:cs="Arial"/>
        </w:rPr>
        <w:t xml:space="preserve"> ministryně pro řízení úřadu</w:t>
      </w:r>
    </w:p>
    <w:p w:rsidR="00511150" w:rsidRPr="00E27813"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Default="00511150" w:rsidP="00BA6DDA">
      <w:pPr>
        <w:spacing w:line="276" w:lineRule="auto"/>
        <w:jc w:val="both"/>
        <w:rPr>
          <w:rFonts w:ascii="Calibri" w:hAnsi="Calibri" w:cs="Arial"/>
          <w:sz w:val="22"/>
          <w:szCs w:val="22"/>
        </w:rPr>
      </w:pPr>
      <w:r>
        <w:rPr>
          <w:rFonts w:ascii="Calibri" w:hAnsi="Calibri" w:cs="Arial"/>
          <w:sz w:val="22"/>
          <w:szCs w:val="22"/>
        </w:rPr>
        <w:lastRenderedPageBreak/>
        <w:t>a</w:t>
      </w:r>
    </w:p>
    <w:p w:rsidR="00511150" w:rsidRPr="00BA6DDA"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BA6DDA" w:rsidRDefault="00511150" w:rsidP="00BA6DDA">
      <w:pPr>
        <w:spacing w:line="276" w:lineRule="auto"/>
        <w:jc w:val="both"/>
        <w:rPr>
          <w:rFonts w:ascii="Calibri" w:hAnsi="Calibri" w:cs="Arial"/>
          <w:sz w:val="22"/>
          <w:szCs w:val="22"/>
        </w:rPr>
      </w:pPr>
    </w:p>
    <w:p w:rsidR="00511150" w:rsidRPr="00BA6DDA" w:rsidRDefault="00511150" w:rsidP="00BA6DDA">
      <w:pPr>
        <w:spacing w:line="276" w:lineRule="auto"/>
        <w:rPr>
          <w:rFonts w:ascii="Calibri" w:hAnsi="Calibri" w:cs="Arial"/>
          <w:sz w:val="22"/>
          <w:szCs w:val="22"/>
        </w:rPr>
      </w:pPr>
      <w:r w:rsidRPr="00BA6DDA">
        <w:rPr>
          <w:rFonts w:ascii="Calibri" w:hAnsi="Calibri" w:cs="Arial"/>
          <w:sz w:val="22"/>
          <w:szCs w:val="22"/>
        </w:rPr>
        <w:t>dále jen</w:t>
      </w:r>
      <w:r w:rsidRPr="00BA6DDA">
        <w:rPr>
          <w:rFonts w:ascii="Calibri" w:hAnsi="Calibri" w:cs="Arial"/>
          <w:b/>
          <w:sz w:val="22"/>
          <w:szCs w:val="22"/>
        </w:rPr>
        <w:t xml:space="preserve"> „poskytovatelé“ </w:t>
      </w:r>
      <w:r w:rsidRPr="00BA6DDA">
        <w:rPr>
          <w:rFonts w:ascii="Calibri" w:hAnsi="Calibri" w:cs="Arial"/>
          <w:sz w:val="22"/>
          <w:szCs w:val="22"/>
        </w:rPr>
        <w:t xml:space="preserve">na straně druhé </w:t>
      </w:r>
    </w:p>
    <w:p w:rsidR="00511150" w:rsidRPr="00BA6DDA" w:rsidRDefault="00511150" w:rsidP="00BA6DDA">
      <w:pPr>
        <w:spacing w:line="276" w:lineRule="auto"/>
        <w:rPr>
          <w:rFonts w:ascii="Calibri" w:hAnsi="Calibri" w:cs="Arial"/>
          <w:sz w:val="22"/>
          <w:szCs w:val="22"/>
        </w:rPr>
      </w:pPr>
    </w:p>
    <w:p w:rsidR="00511150" w:rsidRDefault="00511150" w:rsidP="00BA6DDA">
      <w:pPr>
        <w:spacing w:line="276" w:lineRule="auto"/>
        <w:rPr>
          <w:rFonts w:ascii="Calibri" w:hAnsi="Calibri" w:cs="Arial"/>
          <w:sz w:val="22"/>
          <w:szCs w:val="22"/>
        </w:rPr>
      </w:pPr>
      <w:r w:rsidRPr="00BA6DDA">
        <w:rPr>
          <w:rFonts w:ascii="Calibri" w:hAnsi="Calibri" w:cs="Arial"/>
          <w:sz w:val="22"/>
          <w:szCs w:val="22"/>
        </w:rPr>
        <w:t>společně budou objednatel a poskytovatelé dále též označováni jako „smluvní strany“.</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Úvodní ustanovení</w:t>
      </w:r>
    </w:p>
    <w:p w:rsidR="00511150" w:rsidRPr="00BA6DDA" w:rsidRDefault="00511150"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BA6DDA">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BA6DDA">
        <w:rPr>
          <w:rFonts w:ascii="Calibri" w:hAnsi="Calibri" w:cs="Arial"/>
          <w:sz w:val="22"/>
          <w:szCs w:val="22"/>
        </w:rPr>
        <w:t xml:space="preserve">“ (dále jen „Veřejná zakázka“). Tato Smlouva se vztahuje k části </w:t>
      </w:r>
      <w:r>
        <w:rPr>
          <w:rFonts w:ascii="Calibri" w:hAnsi="Calibri" w:cs="Arial"/>
          <w:sz w:val="22"/>
          <w:szCs w:val="22"/>
        </w:rPr>
        <w:t>3</w:t>
      </w:r>
      <w:r w:rsidRPr="00BA6DDA">
        <w:rPr>
          <w:rFonts w:ascii="Calibri" w:hAnsi="Calibri" w:cs="Arial"/>
          <w:sz w:val="22"/>
          <w:szCs w:val="22"/>
        </w:rPr>
        <w:t xml:space="preserve">. této Veřejné zakázky s názvem „Terénní a ambulantní služby pro rodiny a děti“. </w:t>
      </w:r>
    </w:p>
    <w:p w:rsidR="00511150" w:rsidRPr="00BA6DDA" w:rsidRDefault="00511150"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Smluvní strany uzavírají tuto Smlouvu s ohledem na výsledek zadávacího řízení ve vztahu k </w:t>
      </w:r>
      <w:r>
        <w:rPr>
          <w:rFonts w:ascii="Calibri" w:hAnsi="Calibri" w:cs="Arial"/>
          <w:sz w:val="22"/>
          <w:szCs w:val="22"/>
        </w:rPr>
        <w:t>3</w:t>
      </w:r>
      <w:r w:rsidRPr="00BA6DDA">
        <w:rPr>
          <w:rFonts w:ascii="Calibri" w:hAnsi="Calibri" w:cs="Arial"/>
          <w:sz w:val="22"/>
          <w:szCs w:val="22"/>
        </w:rPr>
        <w:t>.</w:t>
      </w:r>
      <w:r>
        <w:rPr>
          <w:rFonts w:ascii="Calibri" w:hAnsi="Calibri" w:cs="Arial"/>
          <w:sz w:val="22"/>
          <w:szCs w:val="22"/>
        </w:rPr>
        <w:t> </w:t>
      </w:r>
      <w:r w:rsidRPr="00BA6DDA">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511150" w:rsidRPr="00BA6DDA" w:rsidRDefault="00511150" w:rsidP="00D6750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 xml:space="preserve">Předmět a účel smlouvy </w:t>
      </w:r>
    </w:p>
    <w:p w:rsidR="00511150" w:rsidRPr="00E27813" w:rsidRDefault="00511150" w:rsidP="004C6B62">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t</w:t>
      </w:r>
      <w:r w:rsidRPr="002C4DA7">
        <w:rPr>
          <w:rFonts w:ascii="Calibri" w:hAnsi="Calibri" w:cs="Arial"/>
          <w:sz w:val="22"/>
          <w:szCs w:val="22"/>
        </w:rPr>
        <w:t>erénní</w:t>
      </w:r>
      <w:r>
        <w:rPr>
          <w:rFonts w:ascii="Calibri" w:hAnsi="Calibri" w:cs="Arial"/>
          <w:sz w:val="22"/>
          <w:szCs w:val="22"/>
        </w:rPr>
        <w:t>ch</w:t>
      </w:r>
      <w:r w:rsidRPr="002C4DA7">
        <w:rPr>
          <w:rFonts w:ascii="Calibri" w:hAnsi="Calibri" w:cs="Arial"/>
          <w:sz w:val="22"/>
          <w:szCs w:val="22"/>
        </w:rPr>
        <w:t xml:space="preserve"> a ambulantní</w:t>
      </w:r>
      <w:r>
        <w:rPr>
          <w:rFonts w:ascii="Calibri" w:hAnsi="Calibri" w:cs="Arial"/>
          <w:sz w:val="22"/>
          <w:szCs w:val="22"/>
        </w:rPr>
        <w:t>ch</w:t>
      </w:r>
      <w:r w:rsidRPr="002C4DA7">
        <w:rPr>
          <w:rFonts w:ascii="Calibri" w:hAnsi="Calibri" w:cs="Arial"/>
          <w:sz w:val="22"/>
          <w:szCs w:val="22"/>
        </w:rPr>
        <w:t xml:space="preserve"> služ</w:t>
      </w:r>
      <w:r>
        <w:rPr>
          <w:rFonts w:ascii="Calibri" w:hAnsi="Calibri" w:cs="Arial"/>
          <w:sz w:val="22"/>
          <w:szCs w:val="22"/>
        </w:rPr>
        <w:t>eb</w:t>
      </w:r>
      <w:r w:rsidRPr="002C4DA7">
        <w:rPr>
          <w:rFonts w:ascii="Calibri" w:hAnsi="Calibri" w:cs="Arial"/>
          <w:sz w:val="22"/>
          <w:szCs w:val="22"/>
        </w:rPr>
        <w:t xml:space="preserve"> pro rodiny a děti </w:t>
      </w:r>
      <w:r w:rsidRPr="00E27813">
        <w:rPr>
          <w:rFonts w:ascii="Calibri" w:hAnsi="Calibri" w:cs="Arial"/>
          <w:sz w:val="22"/>
          <w:szCs w:val="22"/>
        </w:rPr>
        <w:t>definovaných v zadávacím řízení mezi objednatelem a některým z poskytovatelů (dále jen „Dílčí smlouvy“), který bude vybrán postupem podle čl. III</w:t>
      </w:r>
      <w:r>
        <w:rPr>
          <w:rFonts w:ascii="Calibri" w:hAnsi="Calibri" w:cs="Arial"/>
          <w:sz w:val="22"/>
          <w:szCs w:val="22"/>
        </w:rPr>
        <w:t>. této Smlouvy.</w:t>
      </w:r>
    </w:p>
    <w:p w:rsidR="00511150" w:rsidRPr="00BA6DDA" w:rsidRDefault="00511150"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Poskytováním </w:t>
      </w:r>
      <w:r>
        <w:rPr>
          <w:rFonts w:ascii="Calibri" w:hAnsi="Calibri" w:cs="Arial"/>
          <w:sz w:val="22"/>
          <w:szCs w:val="22"/>
        </w:rPr>
        <w:t>t</w:t>
      </w:r>
      <w:r w:rsidRPr="002C4DA7">
        <w:rPr>
          <w:rFonts w:ascii="Calibri" w:hAnsi="Calibri" w:cs="Arial"/>
          <w:sz w:val="22"/>
          <w:szCs w:val="22"/>
        </w:rPr>
        <w:t>erénní</w:t>
      </w:r>
      <w:r>
        <w:rPr>
          <w:rFonts w:ascii="Calibri" w:hAnsi="Calibri" w:cs="Arial"/>
          <w:sz w:val="22"/>
          <w:szCs w:val="22"/>
        </w:rPr>
        <w:t>ch</w:t>
      </w:r>
      <w:r w:rsidRPr="002C4DA7">
        <w:rPr>
          <w:rFonts w:ascii="Calibri" w:hAnsi="Calibri" w:cs="Arial"/>
          <w:sz w:val="22"/>
          <w:szCs w:val="22"/>
        </w:rPr>
        <w:t xml:space="preserve"> a ambulantní</w:t>
      </w:r>
      <w:r>
        <w:rPr>
          <w:rFonts w:ascii="Calibri" w:hAnsi="Calibri" w:cs="Arial"/>
          <w:sz w:val="22"/>
          <w:szCs w:val="22"/>
        </w:rPr>
        <w:t>ch</w:t>
      </w:r>
      <w:r w:rsidRPr="002C4DA7">
        <w:rPr>
          <w:rFonts w:ascii="Calibri" w:hAnsi="Calibri" w:cs="Arial"/>
          <w:sz w:val="22"/>
          <w:szCs w:val="22"/>
        </w:rPr>
        <w:t xml:space="preserve"> služ</w:t>
      </w:r>
      <w:r>
        <w:rPr>
          <w:rFonts w:ascii="Calibri" w:hAnsi="Calibri" w:cs="Arial"/>
          <w:sz w:val="22"/>
          <w:szCs w:val="22"/>
        </w:rPr>
        <w:t>eb</w:t>
      </w:r>
      <w:r w:rsidRPr="002C4DA7">
        <w:rPr>
          <w:rFonts w:ascii="Calibri" w:hAnsi="Calibri" w:cs="Arial"/>
          <w:sz w:val="22"/>
          <w:szCs w:val="22"/>
        </w:rPr>
        <w:t xml:space="preserve"> pro rodiny a děti</w:t>
      </w:r>
      <w:r w:rsidRPr="00BA6DDA">
        <w:rPr>
          <w:rFonts w:ascii="Calibri" w:hAnsi="Calibri" w:cs="Arial"/>
          <w:sz w:val="22"/>
          <w:szCs w:val="22"/>
        </w:rPr>
        <w:t xml:space="preserve"> se pro účely této Smlouvy rozumí: Poskytování terénních a ambulantních služeb pro rodiny a děti v přirozeném sociálním prostředí – to je rodina a sociální vazby k osobám blízkým a k místům, kde osoby pracují, vzdělávají se a realizují běžné sociální aktivity. Veškeré činnosti vykonávané v rámci terénních a ambulantních služeb podporují rodinu v obnovení či získání potřebných sociálních kompetencí s cílem využít v maximální možné míře jejích přirozených zdrojů.</w:t>
      </w:r>
    </w:p>
    <w:p w:rsidR="00511150" w:rsidRPr="005437B1" w:rsidRDefault="00511150" w:rsidP="005437B1">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8218A0">
        <w:rPr>
          <w:rFonts w:ascii="Calibri" w:hAnsi="Calibri" w:cs="Arial"/>
          <w:sz w:val="22"/>
          <w:szCs w:val="22"/>
        </w:rPr>
        <w:lastRenderedPageBreak/>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511150" w:rsidRPr="00BA6DDA" w:rsidRDefault="00511150"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BA6DDA">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3</w:t>
      </w:r>
      <w:r w:rsidRPr="00BA6DDA">
        <w:rPr>
          <w:rFonts w:ascii="Calibri" w:hAnsi="Calibri" w:cs="Arial"/>
          <w:sz w:val="22"/>
          <w:szCs w:val="22"/>
        </w:rPr>
        <w:t>. veřejné zakázky, tj.</w:t>
      </w:r>
      <w:r>
        <w:rPr>
          <w:rFonts w:ascii="Calibri" w:hAnsi="Calibri" w:cs="Arial"/>
          <w:sz w:val="22"/>
          <w:szCs w:val="22"/>
        </w:rPr>
        <w:t> 8</w:t>
      </w:r>
      <w:r w:rsidRPr="00BA6DDA">
        <w:rPr>
          <w:rFonts w:ascii="Calibri" w:hAnsi="Calibri" w:cs="Arial"/>
          <w:sz w:val="22"/>
          <w:szCs w:val="22"/>
        </w:rPr>
        <w:t xml:space="preserve">.000.000,- Kč (slovy: </w:t>
      </w:r>
      <w:r>
        <w:rPr>
          <w:rFonts w:ascii="Calibri" w:hAnsi="Calibri" w:cs="Arial"/>
          <w:sz w:val="22"/>
          <w:szCs w:val="22"/>
        </w:rPr>
        <w:t>osm</w:t>
      </w:r>
      <w:r w:rsidRPr="00BA6DDA">
        <w:rPr>
          <w:rFonts w:ascii="Calibri" w:hAnsi="Calibri" w:cs="Arial"/>
          <w:sz w:val="22"/>
          <w:szCs w:val="22"/>
        </w:rPr>
        <w:t xml:space="preserve"> milionů korun českých) bez DPH. V případě, kdy by již byla uzavřena Dílčí smlouva, a poskytnutím plnění ze strany Poskytovatele by došlo k překročení finančního limitu, je objednatel oprávněn od takové Dílčí smlouvy odstoupit.</w:t>
      </w:r>
    </w:p>
    <w:p w:rsidR="00511150" w:rsidRPr="00BA6DDA" w:rsidRDefault="00511150"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BA6DDA">
          <w:rPr>
            <w:rFonts w:ascii="Calibri" w:hAnsi="Calibri" w:cs="Arial"/>
            <w:sz w:val="22"/>
            <w:szCs w:val="22"/>
          </w:rPr>
          <w:t>2013 a</w:t>
        </w:r>
      </w:smartTag>
      <w:r w:rsidRPr="00BA6DDA">
        <w:rPr>
          <w:rFonts w:ascii="Calibri" w:hAnsi="Calibri" w:cs="Arial"/>
          <w:sz w:val="22"/>
          <w:szCs w:val="22"/>
        </w:rPr>
        <w:t xml:space="preserve"> Manuálem vizuální identity OP LZZ 2007 – 2013 (</w:t>
      </w:r>
      <w:hyperlink r:id="rId8" w:history="1">
        <w:r w:rsidRPr="00BA6DDA">
          <w:rPr>
            <w:rFonts w:ascii="Calibri" w:hAnsi="Calibri" w:cs="Arial"/>
            <w:sz w:val="22"/>
            <w:szCs w:val="22"/>
          </w:rPr>
          <w:t>http://www.esfcr.cz/dokumenty</w:t>
        </w:r>
      </w:hyperlink>
      <w:r w:rsidRPr="00BA6DDA">
        <w:rPr>
          <w:rFonts w:ascii="Calibri" w:hAnsi="Calibri" w:cs="Arial"/>
          <w:sz w:val="22"/>
          <w:szCs w:val="22"/>
        </w:rPr>
        <w:t xml:space="preserve">, složka publicita). </w:t>
      </w:r>
    </w:p>
    <w:p w:rsidR="00511150" w:rsidRPr="00BA6DDA" w:rsidRDefault="00511150" w:rsidP="00D67504">
      <w:pPr>
        <w:spacing w:before="480" w:line="276" w:lineRule="auto"/>
        <w:jc w:val="center"/>
        <w:rPr>
          <w:rFonts w:ascii="Calibri" w:hAnsi="Calibri" w:cs="Arial"/>
          <w:b/>
          <w:sz w:val="22"/>
          <w:szCs w:val="22"/>
        </w:rPr>
      </w:pPr>
      <w:r w:rsidRPr="00BA6DDA">
        <w:rPr>
          <w:rFonts w:ascii="Calibri" w:hAnsi="Calibri" w:cs="Arial"/>
          <w:b/>
          <w:sz w:val="22"/>
          <w:szCs w:val="22"/>
        </w:rPr>
        <w:t>III.</w:t>
      </w:r>
    </w:p>
    <w:p w:rsidR="00511150" w:rsidRPr="00BA6DDA" w:rsidRDefault="00511150" w:rsidP="00D67504">
      <w:pPr>
        <w:spacing w:line="276" w:lineRule="auto"/>
        <w:jc w:val="center"/>
        <w:rPr>
          <w:rFonts w:ascii="Calibri" w:hAnsi="Calibri" w:cs="Arial"/>
          <w:b/>
          <w:sz w:val="22"/>
          <w:szCs w:val="22"/>
        </w:rPr>
      </w:pPr>
      <w:r w:rsidRPr="00BA6DDA">
        <w:rPr>
          <w:rFonts w:ascii="Calibri" w:hAnsi="Calibri" w:cs="Arial"/>
          <w:b/>
          <w:sz w:val="22"/>
          <w:szCs w:val="22"/>
        </w:rPr>
        <w:t>Dílčí veřejné zakázky a uzavírání Dílčích smluv</w:t>
      </w:r>
    </w:p>
    <w:p w:rsidR="00511150" w:rsidRPr="00BA6DDA" w:rsidRDefault="00511150" w:rsidP="00D67504">
      <w:pPr>
        <w:spacing w:line="276" w:lineRule="auto"/>
        <w:jc w:val="center"/>
        <w:rPr>
          <w:rFonts w:ascii="Calibri" w:hAnsi="Calibri" w:cs="Arial"/>
          <w:b/>
          <w:sz w:val="22"/>
          <w:szCs w:val="22"/>
        </w:rPr>
      </w:pP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Písemná výzva k podání nabídek na dílčí veřejnou zakázku zadávanou na základě této Smlouvy</w:t>
      </w:r>
      <w:r>
        <w:rPr>
          <w:rFonts w:ascii="Calibri" w:hAnsi="Calibri" w:cs="Arial"/>
          <w:sz w:val="22"/>
          <w:szCs w:val="22"/>
        </w:rPr>
        <w:t xml:space="preserve"> (dále jen „výzva“) </w:t>
      </w:r>
      <w:r w:rsidRPr="00E27813">
        <w:rPr>
          <w:rFonts w:ascii="Calibri" w:hAnsi="Calibri" w:cs="Arial"/>
          <w:sz w:val="22"/>
          <w:szCs w:val="22"/>
        </w:rPr>
        <w:t>bude obsahovat minimálně:</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w:t>
      </w:r>
      <w:r w:rsidRPr="00E27813">
        <w:rPr>
          <w:rFonts w:ascii="Calibri" w:hAnsi="Calibri" w:cs="Arial"/>
          <w:sz w:val="22"/>
          <w:szCs w:val="22"/>
        </w:rPr>
        <w:lastRenderedPageBreak/>
        <w:t xml:space="preserve">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 78 a § 79 Zákona.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511150"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lastRenderedPageBreak/>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511150" w:rsidRPr="003F1DDE"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511150" w:rsidRPr="00E27813"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511150" w:rsidRPr="00F87B46"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511150" w:rsidRPr="008331F2"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511150" w:rsidRPr="00D36BFC" w:rsidRDefault="00511150" w:rsidP="00E05E9B">
      <w:pPr>
        <w:spacing w:before="120" w:after="120" w:line="276" w:lineRule="auto"/>
        <w:ind w:left="360"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511150" w:rsidRPr="00BA6DDA" w:rsidRDefault="00511150" w:rsidP="00D67504">
      <w:pPr>
        <w:spacing w:before="120" w:after="120" w:line="276" w:lineRule="auto"/>
        <w:ind w:right="49"/>
        <w:jc w:val="both"/>
        <w:rPr>
          <w:rFonts w:ascii="Calibri" w:hAnsi="Calibri" w:cs="Arial"/>
          <w:sz w:val="22"/>
          <w:szCs w:val="22"/>
        </w:rPr>
      </w:pPr>
    </w:p>
    <w:p w:rsidR="00511150" w:rsidRPr="00BA6DDA" w:rsidRDefault="00511150" w:rsidP="00D67504">
      <w:pPr>
        <w:spacing w:before="120" w:after="120" w:line="276" w:lineRule="auto"/>
        <w:ind w:right="49"/>
        <w:jc w:val="center"/>
        <w:rPr>
          <w:rFonts w:ascii="Calibri" w:hAnsi="Calibri" w:cs="Arial"/>
          <w:sz w:val="22"/>
          <w:szCs w:val="22"/>
        </w:rPr>
      </w:pPr>
      <w:r w:rsidRPr="00BA6DDA">
        <w:rPr>
          <w:rFonts w:ascii="Calibri" w:hAnsi="Calibri" w:cs="Arial"/>
          <w:b/>
          <w:sz w:val="22"/>
          <w:szCs w:val="22"/>
        </w:rPr>
        <w:t>IV.</w:t>
      </w:r>
    </w:p>
    <w:p w:rsidR="00511150" w:rsidRPr="00BA6DDA" w:rsidRDefault="00511150" w:rsidP="00D67504">
      <w:pPr>
        <w:spacing w:line="276" w:lineRule="auto"/>
        <w:jc w:val="center"/>
        <w:rPr>
          <w:rFonts w:ascii="Calibri" w:hAnsi="Calibri" w:cs="Arial"/>
          <w:b/>
          <w:sz w:val="22"/>
          <w:szCs w:val="22"/>
        </w:rPr>
      </w:pPr>
      <w:r w:rsidRPr="00BA6DDA">
        <w:rPr>
          <w:rFonts w:ascii="Calibri" w:hAnsi="Calibri" w:cs="Arial"/>
          <w:b/>
          <w:sz w:val="22"/>
          <w:szCs w:val="22"/>
        </w:rPr>
        <w:t>Místo a doba plnění předmětu smlouvy</w:t>
      </w:r>
    </w:p>
    <w:p w:rsidR="00511150" w:rsidRPr="00BA6DDA" w:rsidRDefault="00511150"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Místem plnění předmětu smlouvy je </w:t>
      </w:r>
      <w:r>
        <w:rPr>
          <w:rFonts w:ascii="Calibri" w:hAnsi="Calibri" w:cs="Arial"/>
          <w:sz w:val="22"/>
          <w:szCs w:val="22"/>
        </w:rPr>
        <w:t>Karlovarský</w:t>
      </w:r>
      <w:r w:rsidRPr="00BA6DDA">
        <w:rPr>
          <w:rFonts w:ascii="Calibri" w:hAnsi="Calibri" w:cs="Arial"/>
          <w:sz w:val="22"/>
          <w:szCs w:val="22"/>
        </w:rPr>
        <w:t xml:space="preserve"> kraj, Česká republika</w:t>
      </w:r>
    </w:p>
    <w:p w:rsidR="00511150" w:rsidRPr="00BA6DDA" w:rsidRDefault="00511150"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rPr>
        <w:t xml:space="preserve">Požadované ukončení předmětu plnění: </w:t>
      </w:r>
      <w:r>
        <w:rPr>
          <w:rFonts w:ascii="Calibri" w:hAnsi="Calibri" w:cs="Arial"/>
          <w:sz w:val="22"/>
        </w:rPr>
        <w:t>31. 10. 2015</w:t>
      </w:r>
      <w:r w:rsidRPr="00BA6DDA">
        <w:rPr>
          <w:rFonts w:ascii="Calibri" w:hAnsi="Calibri" w:cs="Arial"/>
          <w:sz w:val="22"/>
        </w:rPr>
        <w:t>.</w:t>
      </w:r>
    </w:p>
    <w:p w:rsidR="00511150" w:rsidRPr="00BA6DDA" w:rsidRDefault="00511150" w:rsidP="00D67504">
      <w:pPr>
        <w:spacing w:before="120" w:after="120" w:line="276" w:lineRule="auto"/>
        <w:ind w:left="360" w:right="49"/>
        <w:jc w:val="both"/>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Změny plnění v rámci předmětu smlouvy</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(změnové řízení)</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w:t>
      </w:r>
      <w:r w:rsidRPr="00E27813">
        <w:rPr>
          <w:rFonts w:ascii="Calibri" w:hAnsi="Calibri" w:cs="Arial"/>
          <w:sz w:val="22"/>
          <w:szCs w:val="22"/>
        </w:rPr>
        <w:lastRenderedPageBreak/>
        <w:t>objednatele na změny plnění. Po marném uplynutí uvedené lhůty se má za to, že poskytovatel se změnami plnění souhlasí.</w:t>
      </w:r>
    </w:p>
    <w:p w:rsidR="00511150"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511150" w:rsidRPr="00BA6DDA" w:rsidRDefault="00511150" w:rsidP="007736F5">
      <w:pPr>
        <w:spacing w:line="276" w:lineRule="auto"/>
        <w:ind w:right="49"/>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VI.</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Cena a platební podmínky</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511150" w:rsidRPr="006C2254"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511150"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511150" w:rsidRPr="00950C71"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50C71">
        <w:rPr>
          <w:rFonts w:ascii="Calibri" w:hAnsi="Calibri" w:cs="Arial"/>
          <w:sz w:val="22"/>
          <w:szCs w:val="22"/>
        </w:rPr>
        <w:t>U služeb poskytovaných po dobu delší než tři měsíce, bude fakturace probíhat zpětně jedenkrát za čtvrtletí. U služeb poskytovaných po dobu kratší než tři měsíce bude fakturace probíhat</w:t>
      </w:r>
      <w:r>
        <w:rPr>
          <w:rFonts w:ascii="Calibri" w:hAnsi="Calibri" w:cs="Arial"/>
          <w:sz w:val="22"/>
          <w:szCs w:val="22"/>
        </w:rPr>
        <w:t xml:space="preserve"> </w:t>
      </w:r>
      <w:r w:rsidRPr="00950C71">
        <w:rPr>
          <w:rFonts w:ascii="Calibri" w:hAnsi="Calibri" w:cs="Arial"/>
          <w:sz w:val="22"/>
          <w:szCs w:val="22"/>
        </w:rPr>
        <w:t xml:space="preserve">zpětně, a to </w:t>
      </w:r>
      <w:r>
        <w:rPr>
          <w:rFonts w:ascii="Calibri" w:hAnsi="Calibri" w:cs="Arial"/>
          <w:sz w:val="22"/>
          <w:szCs w:val="22"/>
        </w:rPr>
        <w:t>v souladu s čl. VI. bodem 6. této Smlouvy</w:t>
      </w:r>
      <w:r w:rsidRPr="00950C71">
        <w:rPr>
          <w:rFonts w:ascii="Calibri" w:hAnsi="Calibri" w:cs="Arial"/>
          <w:sz w:val="22"/>
          <w:szCs w:val="22"/>
        </w:rPr>
        <w:t>.</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w:t>
      </w:r>
      <w:r w:rsidRPr="00E27813">
        <w:rPr>
          <w:rFonts w:ascii="Calibri" w:hAnsi="Calibri" w:cs="Arial"/>
          <w:sz w:val="22"/>
          <w:szCs w:val="22"/>
        </w:rPr>
        <w:lastRenderedPageBreak/>
        <w:t>se tímto dohodly, že splatnost faktur doručených objednateli od 11. prosince do 31. ledna následujícího roku se posouvá až na 1. března.</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nebude poskytovat zálohy.</w:t>
      </w:r>
    </w:p>
    <w:p w:rsidR="00511150" w:rsidRPr="00BA6DDA" w:rsidRDefault="00511150" w:rsidP="009204CC">
      <w:pPr>
        <w:spacing w:line="276" w:lineRule="auto"/>
        <w:ind w:right="49"/>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VII.</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Subdodavatelé</w:t>
      </w:r>
    </w:p>
    <w:p w:rsidR="00511150" w:rsidRPr="00E27813"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511150"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3c</w:t>
      </w:r>
      <w:r w:rsidRPr="00E27813">
        <w:rPr>
          <w:rFonts w:ascii="Calibri" w:hAnsi="Calibri" w:cs="Arial"/>
          <w:sz w:val="22"/>
          <w:szCs w:val="22"/>
        </w:rPr>
        <w:t xml:space="preserve">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511150" w:rsidRPr="00E27813"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511150" w:rsidRPr="00BA6DDA" w:rsidRDefault="00511150" w:rsidP="003E4C1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VIII.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Práva a povinnosti smluvních stran</w:t>
      </w:r>
    </w:p>
    <w:p w:rsidR="00511150" w:rsidRPr="00BA6DDA" w:rsidRDefault="00511150"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BA6DDA">
        <w:rPr>
          <w:rFonts w:ascii="Calibri" w:hAnsi="Calibri" w:cs="Arial"/>
          <w:sz w:val="22"/>
          <w:szCs w:val="22"/>
        </w:rPr>
        <w:t xml:space="preserve">Poskytovatel je povinen na žádost objednatele bezodkladně písemně poskytnout jakékoliv informace související s realizací předmětu plnění. </w:t>
      </w:r>
    </w:p>
    <w:p w:rsidR="00511150" w:rsidRPr="00BA6DDA" w:rsidRDefault="00511150" w:rsidP="00D67504">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se zavazuje během plnění zakázky a zároveň do konce roku </w:t>
      </w:r>
      <w:r>
        <w:rPr>
          <w:rFonts w:ascii="Calibri" w:hAnsi="Calibri" w:cs="Arial"/>
          <w:sz w:val="22"/>
          <w:szCs w:val="22"/>
        </w:rPr>
        <w:t>2025</w:t>
      </w:r>
      <w:r w:rsidRPr="00BA6DDA">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lastRenderedPageBreak/>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BA6DDA">
        <w:rPr>
          <w:rFonts w:ascii="Calibri" w:hAnsi="Calibri" w:cs="Arial"/>
          <w:sz w:val="22"/>
          <w:szCs w:val="22"/>
        </w:rPr>
        <w:t>, příp. po dobu stanovenou právními předpisy ČR, pokud je tato lhůta delší. Účetní doklady budou uchovány způsobem uvedeným v zákoně č. 563/1991 Sb., o účetnictví</w:t>
      </w:r>
      <w:r>
        <w:rPr>
          <w:rFonts w:ascii="Calibri" w:hAnsi="Calibri" w:cs="Arial"/>
          <w:sz w:val="22"/>
          <w:szCs w:val="22"/>
        </w:rPr>
        <w:t>, ve znění pozdějších předpisů.</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BA6DDA">
        <w:rPr>
          <w:rFonts w:ascii="Calibri" w:hAnsi="Calibri" w:cs="Arial"/>
          <w:sz w:val="22"/>
          <w:szCs w:val="22"/>
        </w:rPr>
        <w:t>kv</w:t>
      </w:r>
      <w:r>
        <w:rPr>
          <w:rFonts w:ascii="Calibri" w:hAnsi="Calibri" w:cs="Arial"/>
          <w:sz w:val="22"/>
          <w:szCs w:val="22"/>
        </w:rPr>
        <w:t>alifikaci či specializaci mají.</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se zavazuje poskytnout poskytovateli veškerou součinnost potřebnou pro plnění předmětu Smlouvy.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Konzultace budou probíhat formou osobního, telefonického nebo elektronického kontaktu na základě požadavku objednatele.</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lastRenderedPageBreak/>
        <w:t>Poskytovatel odpovídá objednateli za škodu, kterou mu případně způsobí v souvislosti s poskytováním služeb, a to i v případě, že byla způsobena jeho zástupcem či zaměstnancem.</w:t>
      </w:r>
    </w:p>
    <w:p w:rsidR="00511150" w:rsidRPr="001C7046" w:rsidRDefault="00511150" w:rsidP="001C7046">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120" w:line="276" w:lineRule="auto"/>
        <w:ind w:left="357"/>
        <w:jc w:val="both"/>
        <w:rPr>
          <w:rFonts w:ascii="Calibri" w:hAnsi="Calibri" w:cs="Arial"/>
          <w:sz w:val="22"/>
          <w:szCs w:val="22"/>
        </w:rPr>
      </w:pPr>
      <w:r w:rsidRPr="001C7046">
        <w:rPr>
          <w:rFonts w:ascii="Calibri" w:hAnsi="Calibri" w:cs="Arial"/>
          <w:sz w:val="22"/>
          <w:szCs w:val="22"/>
        </w:rPr>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r w:rsidRPr="001C7046">
        <w:rPr>
          <w:rFonts w:ascii="Calibri" w:hAnsi="Calibri"/>
          <w:color w:val="FF0000"/>
        </w:rPr>
        <w:t xml:space="preserve"> </w:t>
      </w:r>
    </w:p>
    <w:p w:rsidR="00511150" w:rsidRPr="006E6C98" w:rsidRDefault="00511150" w:rsidP="00BF1240">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6E6C98">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6E6C98">
        <w:rPr>
          <w:rFonts w:ascii="Calibri" w:hAnsi="Calibri" w:cs="Arial"/>
          <w:sz w:val="22"/>
          <w:szCs w:val="22"/>
        </w:rPr>
        <w:t>ust</w:t>
      </w:r>
      <w:proofErr w:type="spellEnd"/>
      <w:r w:rsidRPr="006E6C98">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511150" w:rsidRPr="00BA6DDA" w:rsidRDefault="00511150" w:rsidP="00BF1240">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0" w:name="_Toc346900359"/>
      <w:bookmarkStart w:id="1" w:name="_Toc346902954"/>
      <w:bookmarkStart w:id="2"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0"/>
      <w:bookmarkEnd w:id="1"/>
      <w:bookmarkEnd w:id="2"/>
    </w:p>
    <w:p w:rsidR="00511150"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511150" w:rsidRPr="001049E8" w:rsidRDefault="00511150" w:rsidP="000466AF">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511150" w:rsidRPr="001049E8" w:rsidRDefault="00511150" w:rsidP="000466AF">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w:t>
      </w:r>
      <w:r w:rsidRPr="001049E8">
        <w:rPr>
          <w:rFonts w:ascii="Calibri" w:hAnsi="Calibri"/>
          <w:sz w:val="22"/>
          <w:szCs w:val="22"/>
        </w:rPr>
        <w:lastRenderedPageBreak/>
        <w:t xml:space="preserve">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511150" w:rsidRPr="00BA6DDA" w:rsidRDefault="00511150" w:rsidP="000466AF">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IX.</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Sankční podmínky</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511150"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Další případné sankce moho</w:t>
      </w:r>
      <w:r>
        <w:rPr>
          <w:rFonts w:ascii="Calibri" w:hAnsi="Calibri" w:cs="Arial"/>
          <w:sz w:val="22"/>
          <w:szCs w:val="22"/>
        </w:rPr>
        <w:t>u být sjednány v Dílčí smlouvě.</w:t>
      </w:r>
    </w:p>
    <w:p w:rsidR="00511150" w:rsidRPr="00BA6DDA" w:rsidRDefault="00511150" w:rsidP="00D6750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Doba trvání a ukončení smlouvy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w:t>
      </w:r>
      <w:r w:rsidRPr="00E27813">
        <w:rPr>
          <w:rFonts w:ascii="Calibri" w:hAnsi="Calibri" w:cs="Arial"/>
          <w:sz w:val="22"/>
          <w:szCs w:val="22"/>
        </w:rPr>
        <w:lastRenderedPageBreak/>
        <w:t>převzatých, jakož i rozpracovaných plnění, která byla provedena do dne uplynutí výpovědní lhůty.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511150" w:rsidRPr="001A53F5"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511150" w:rsidRPr="006F2A22"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511150" w:rsidRDefault="00511150" w:rsidP="00D67504">
      <w:pPr>
        <w:spacing w:before="120" w:after="120" w:line="276" w:lineRule="auto"/>
        <w:ind w:left="360" w:right="49"/>
        <w:jc w:val="both"/>
        <w:rPr>
          <w:rFonts w:ascii="Calibri" w:hAnsi="Calibri" w:cs="Arial"/>
          <w:sz w:val="22"/>
          <w:szCs w:val="22"/>
        </w:rPr>
      </w:pPr>
    </w:p>
    <w:p w:rsidR="001A5D27" w:rsidRDefault="001A5D27" w:rsidP="00D67504">
      <w:pPr>
        <w:spacing w:before="120" w:after="120" w:line="276" w:lineRule="auto"/>
        <w:ind w:left="360" w:right="49"/>
        <w:jc w:val="both"/>
        <w:rPr>
          <w:rFonts w:ascii="Calibri" w:hAnsi="Calibri" w:cs="Arial"/>
          <w:sz w:val="22"/>
          <w:szCs w:val="22"/>
        </w:rPr>
      </w:pPr>
    </w:p>
    <w:p w:rsidR="001A5D27" w:rsidRDefault="001A5D27" w:rsidP="00D67504">
      <w:pPr>
        <w:spacing w:before="120" w:after="120" w:line="276" w:lineRule="auto"/>
        <w:ind w:left="360" w:right="49"/>
        <w:jc w:val="both"/>
        <w:rPr>
          <w:rFonts w:ascii="Calibri" w:hAnsi="Calibri" w:cs="Arial"/>
          <w:sz w:val="22"/>
          <w:szCs w:val="22"/>
        </w:rPr>
      </w:pPr>
    </w:p>
    <w:p w:rsidR="001A5D27" w:rsidRDefault="001A5D27" w:rsidP="00D67504">
      <w:pPr>
        <w:spacing w:before="120" w:after="120" w:line="276" w:lineRule="auto"/>
        <w:ind w:left="360" w:right="49"/>
        <w:jc w:val="both"/>
        <w:rPr>
          <w:rFonts w:ascii="Calibri" w:hAnsi="Calibri" w:cs="Arial"/>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lastRenderedPageBreak/>
        <w:t>XI.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Závěrečná ustanovení</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Tato Smlouva nabývá platnosti a účinnosti dnem jejího podpisu oběma smluvními stranami.</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 </w:t>
      </w:r>
      <w:r>
        <w:rPr>
          <w:rFonts w:ascii="Calibri" w:hAnsi="Calibri" w:cs="Arial"/>
          <w:sz w:val="22"/>
          <w:szCs w:val="22"/>
        </w:rPr>
        <w:t>osmnácti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511150" w:rsidRPr="00BA6DDA" w:rsidRDefault="00511150" w:rsidP="00D67504">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511150" w:rsidRPr="00D67504" w:rsidRDefault="00511150"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Smluvní strany prohlašují, že si tuto Smlouvu přečetly, že vyjadřuje obsah jejich vůle, na důkaz čehož připojují podpisy svých oprávněných zástupců.</w:t>
      </w:r>
    </w:p>
    <w:p w:rsidR="00511150" w:rsidRPr="00BA6DDA" w:rsidRDefault="00511150"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Nedílnou součást této Smlouvy tvoří t</w:t>
      </w:r>
      <w:r>
        <w:rPr>
          <w:rFonts w:ascii="Calibri" w:hAnsi="Calibri" w:cs="Arial"/>
          <w:sz w:val="22"/>
          <w:szCs w:val="22"/>
        </w:rPr>
        <w:t>y</w:t>
      </w:r>
      <w:r w:rsidRPr="00BA6DDA">
        <w:rPr>
          <w:rFonts w:ascii="Calibri" w:hAnsi="Calibri" w:cs="Arial"/>
          <w:sz w:val="22"/>
          <w:szCs w:val="22"/>
        </w:rPr>
        <w:t>to příloh</w:t>
      </w:r>
      <w:r>
        <w:rPr>
          <w:rFonts w:ascii="Calibri" w:hAnsi="Calibri" w:cs="Arial"/>
          <w:sz w:val="22"/>
          <w:szCs w:val="22"/>
        </w:rPr>
        <w:t>y</w:t>
      </w:r>
      <w:r w:rsidRPr="00BA6DDA">
        <w:rPr>
          <w:rFonts w:ascii="Calibri" w:hAnsi="Calibri" w:cs="Arial"/>
          <w:sz w:val="22"/>
          <w:szCs w:val="22"/>
        </w:rPr>
        <w:t>:</w:t>
      </w:r>
    </w:p>
    <w:p w:rsidR="00511150" w:rsidRPr="00BA6DDA" w:rsidRDefault="00511150" w:rsidP="00BA6DDA">
      <w:pPr>
        <w:spacing w:before="120" w:after="120" w:line="276" w:lineRule="auto"/>
        <w:ind w:left="360" w:right="49"/>
        <w:jc w:val="both"/>
        <w:rPr>
          <w:rFonts w:ascii="Calibri" w:hAnsi="Calibri" w:cs="Arial"/>
          <w:bCs/>
          <w:sz w:val="22"/>
          <w:szCs w:val="22"/>
        </w:rPr>
      </w:pPr>
    </w:p>
    <w:p w:rsidR="00511150" w:rsidRPr="00BA6DDA" w:rsidRDefault="00511150" w:rsidP="00BA6DDA">
      <w:pPr>
        <w:spacing w:after="240" w:line="276" w:lineRule="auto"/>
        <w:ind w:left="1410" w:hanging="1410"/>
        <w:jc w:val="both"/>
        <w:rPr>
          <w:rFonts w:ascii="Calibri" w:hAnsi="Calibri" w:cs="Arial"/>
          <w:bCs/>
          <w:sz w:val="22"/>
          <w:szCs w:val="22"/>
        </w:rPr>
      </w:pPr>
      <w:r w:rsidRPr="00BA6DDA">
        <w:rPr>
          <w:rFonts w:ascii="Calibri" w:hAnsi="Calibri" w:cs="Arial"/>
          <w:bCs/>
          <w:sz w:val="22"/>
          <w:szCs w:val="22"/>
        </w:rPr>
        <w:t xml:space="preserve">Příloha A    </w:t>
      </w:r>
      <w:r w:rsidRPr="00BA6DDA">
        <w:rPr>
          <w:rFonts w:ascii="Calibri" w:hAnsi="Calibri" w:cs="Arial"/>
          <w:bCs/>
          <w:sz w:val="22"/>
          <w:szCs w:val="22"/>
        </w:rPr>
        <w:tab/>
        <w:t xml:space="preserve">Zadávací dokumentace veřejné zakázky </w:t>
      </w:r>
      <w:r w:rsidRPr="00BA6DDA">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BA6DDA">
        <w:rPr>
          <w:rFonts w:ascii="Calibri" w:hAnsi="Calibri" w:cs="Arial"/>
          <w:color w:val="000000"/>
          <w:sz w:val="22"/>
          <w:szCs w:val="22"/>
        </w:rPr>
        <w:t>“</w:t>
      </w:r>
      <w:r w:rsidRPr="00BA6DDA">
        <w:rPr>
          <w:rFonts w:ascii="Calibri" w:hAnsi="Calibri" w:cs="Arial"/>
          <w:bCs/>
          <w:sz w:val="22"/>
          <w:szCs w:val="22"/>
        </w:rPr>
        <w:t xml:space="preserve"> </w:t>
      </w:r>
    </w:p>
    <w:p w:rsidR="00511150" w:rsidRPr="00BA6DDA" w:rsidRDefault="00511150" w:rsidP="00BA6DDA">
      <w:pPr>
        <w:spacing w:after="240" w:line="276" w:lineRule="auto"/>
        <w:ind w:left="1410" w:hanging="1410"/>
        <w:jc w:val="both"/>
        <w:rPr>
          <w:rFonts w:ascii="Calibri" w:hAnsi="Calibri" w:cs="Arial"/>
          <w:color w:val="000000"/>
          <w:sz w:val="22"/>
          <w:szCs w:val="22"/>
        </w:rPr>
      </w:pPr>
      <w:r w:rsidRPr="00BA6DDA">
        <w:rPr>
          <w:rFonts w:ascii="Calibri" w:hAnsi="Calibri" w:cs="Arial"/>
          <w:bCs/>
          <w:sz w:val="22"/>
          <w:szCs w:val="22"/>
        </w:rPr>
        <w:t>Příloha B</w:t>
      </w:r>
      <w:r w:rsidRPr="00BA6DDA">
        <w:rPr>
          <w:rFonts w:ascii="Calibri" w:hAnsi="Calibri" w:cs="Arial"/>
          <w:bCs/>
          <w:sz w:val="22"/>
          <w:szCs w:val="22"/>
        </w:rPr>
        <w:tab/>
        <w:t>Maximální jednotkové nabídkové ceny jednotlivých Poskytovatelů</w:t>
      </w: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r w:rsidRPr="00BA6DDA">
        <w:rPr>
          <w:rFonts w:ascii="Calibri" w:hAnsi="Calibri" w:cs="Arial"/>
          <w:bCs/>
          <w:sz w:val="22"/>
          <w:szCs w:val="22"/>
        </w:rPr>
        <w:t xml:space="preserve">         </w:t>
      </w: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p>
    <w:p w:rsidR="00511150" w:rsidRPr="00BA6DDA" w:rsidRDefault="00511150" w:rsidP="00BA6DDA">
      <w:pPr>
        <w:pStyle w:val="WW-Zkladntextodsazen3"/>
        <w:tabs>
          <w:tab w:val="left" w:pos="1560"/>
        </w:tabs>
        <w:spacing w:before="60" w:line="276" w:lineRule="auto"/>
        <w:ind w:left="1560" w:hanging="1276"/>
        <w:rPr>
          <w:rFonts w:ascii="Calibri" w:hAnsi="Calibri"/>
        </w:rPr>
      </w:pPr>
      <w:r w:rsidRPr="00BA6DDA">
        <w:rPr>
          <w:rFonts w:ascii="Calibri" w:hAnsi="Calibri" w:cs="Arial"/>
          <w:bCs/>
          <w:sz w:val="22"/>
          <w:szCs w:val="22"/>
        </w:rPr>
        <w:t xml:space="preserve">   </w:t>
      </w:r>
    </w:p>
    <w:tbl>
      <w:tblPr>
        <w:tblW w:w="0" w:type="auto"/>
        <w:tblLook w:val="00A0" w:firstRow="1" w:lastRow="0" w:firstColumn="1" w:lastColumn="0" w:noHBand="0" w:noVBand="0"/>
      </w:tblPr>
      <w:tblGrid>
        <w:gridCol w:w="4605"/>
        <w:gridCol w:w="4605"/>
      </w:tblGrid>
      <w:tr w:rsidR="00511150" w:rsidRPr="00BA6DDA" w:rsidTr="00294CF6">
        <w:tc>
          <w:tcPr>
            <w:tcW w:w="4605" w:type="dxa"/>
          </w:tcPr>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V Praze dne _____________</w:t>
            </w:r>
          </w:p>
        </w:tc>
        <w:tc>
          <w:tcPr>
            <w:tcW w:w="4605" w:type="dxa"/>
          </w:tcPr>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V Praze dne _____________</w:t>
            </w:r>
          </w:p>
        </w:tc>
      </w:tr>
      <w:tr w:rsidR="00511150" w:rsidRPr="00BA6DDA" w:rsidTr="00294CF6">
        <w:tc>
          <w:tcPr>
            <w:tcW w:w="4605" w:type="dxa"/>
          </w:tcPr>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Za objednatele:</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Česká republika – Ministerstvo práce a</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sociálních věcí</w:t>
            </w:r>
          </w:p>
          <w:p w:rsidR="00511150" w:rsidRPr="00BA6DDA" w:rsidRDefault="009A5CC3" w:rsidP="00BA6DDA">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p>
          <w:p w:rsidR="00511150" w:rsidRPr="00BA6DDA" w:rsidRDefault="009A5CC3" w:rsidP="00BA6DDA">
            <w:pPr>
              <w:spacing w:line="276" w:lineRule="auto"/>
              <w:jc w:val="center"/>
              <w:rPr>
                <w:rFonts w:ascii="Calibri" w:hAnsi="Calibri" w:cs="Arial"/>
              </w:rPr>
            </w:pPr>
            <w:r>
              <w:rPr>
                <w:rFonts w:ascii="Calibri" w:hAnsi="Calibri" w:cs="Arial"/>
              </w:rPr>
              <w:t>náměstek ministryně pro řízení úřadu</w:t>
            </w:r>
            <w:r w:rsidR="00511150" w:rsidRPr="00BA6DDA">
              <w:rPr>
                <w:rFonts w:ascii="Calibri" w:hAnsi="Calibri" w:cs="Arial"/>
                <w:sz w:val="22"/>
                <w:szCs w:val="22"/>
              </w:rPr>
              <w:t xml:space="preserve">     </w:t>
            </w:r>
            <w:bookmarkStart w:id="3" w:name="_GoBack"/>
            <w:bookmarkEnd w:id="3"/>
          </w:p>
          <w:p w:rsidR="00511150" w:rsidRPr="00BA6DDA" w:rsidRDefault="00511150" w:rsidP="00BA6DDA">
            <w:pPr>
              <w:spacing w:line="276" w:lineRule="auto"/>
              <w:ind w:right="-4592"/>
              <w:rPr>
                <w:rFonts w:ascii="Calibri" w:hAnsi="Calibri" w:cs="Arial"/>
              </w:rPr>
            </w:pPr>
          </w:p>
        </w:tc>
        <w:tc>
          <w:tcPr>
            <w:tcW w:w="4605" w:type="dxa"/>
          </w:tcPr>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Za poskytovatele:</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w:t>
            </w:r>
          </w:p>
          <w:p w:rsidR="00511150" w:rsidRPr="00BA6DDA" w:rsidRDefault="00511150" w:rsidP="00BA6DDA">
            <w:pPr>
              <w:spacing w:line="276" w:lineRule="auto"/>
              <w:jc w:val="center"/>
              <w:rPr>
                <w:rFonts w:ascii="Calibri" w:hAnsi="Calibri" w:cs="Arial"/>
                <w:i/>
              </w:rPr>
            </w:pPr>
          </w:p>
          <w:p w:rsidR="00511150" w:rsidRPr="00BA6DDA" w:rsidRDefault="00511150" w:rsidP="00BA6DDA">
            <w:pPr>
              <w:spacing w:line="276" w:lineRule="auto"/>
              <w:jc w:val="center"/>
              <w:rPr>
                <w:rFonts w:ascii="Calibri" w:hAnsi="Calibri" w:cs="Arial"/>
              </w:rPr>
            </w:pPr>
          </w:p>
        </w:tc>
      </w:tr>
    </w:tbl>
    <w:p w:rsidR="00511150" w:rsidRPr="00BA6DDA" w:rsidRDefault="00511150" w:rsidP="00BA6DDA">
      <w:pPr>
        <w:spacing w:line="276" w:lineRule="auto"/>
        <w:rPr>
          <w:rFonts w:ascii="Calibri" w:hAnsi="Calibri" w:cs="Arial"/>
        </w:rPr>
      </w:pPr>
      <w:r>
        <w:rPr>
          <w:rFonts w:ascii="Calibri" w:hAnsi="Calibri" w:cs="Arial"/>
        </w:rPr>
        <w:br w:type="page"/>
      </w:r>
      <w:r w:rsidRPr="00BA6DDA">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BA6DDA">
        <w:rPr>
          <w:rFonts w:ascii="Calibri" w:hAnsi="Calibri" w:cs="Arial"/>
        </w:rPr>
        <w:t>“</w:t>
      </w:r>
    </w:p>
    <w:p w:rsidR="00511150" w:rsidRPr="00BA6DDA" w:rsidRDefault="00511150" w:rsidP="00BA6DDA">
      <w:pPr>
        <w:spacing w:line="276" w:lineRule="auto"/>
        <w:rPr>
          <w:rFonts w:ascii="Calibri" w:hAnsi="Calibri" w:cs="Arial"/>
        </w:rPr>
      </w:pPr>
      <w:r w:rsidRPr="00BA6DDA">
        <w:rPr>
          <w:rFonts w:ascii="Calibri" w:hAnsi="Calibri" w:cs="Arial"/>
        </w:rPr>
        <w:br w:type="page"/>
      </w:r>
      <w:r w:rsidRPr="00BA6DDA">
        <w:rPr>
          <w:rFonts w:ascii="Calibri" w:hAnsi="Calibri" w:cs="Arial"/>
        </w:rPr>
        <w:lastRenderedPageBreak/>
        <w:t>Příloha B – Maximální jednotkové nabídkové ceny jednotlivých poskytovatelů</w:t>
      </w:r>
    </w:p>
    <w:p w:rsidR="00511150" w:rsidRPr="00BA6DDA" w:rsidRDefault="00511150" w:rsidP="00BA6DDA">
      <w:pPr>
        <w:spacing w:line="276" w:lineRule="auto"/>
        <w:rPr>
          <w:rFonts w:ascii="Calibri" w:hAnsi="Calibri" w:cs="Arial"/>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spacing w:line="276" w:lineRule="auto"/>
        <w:rPr>
          <w:rFonts w:ascii="Calibri" w:hAnsi="Calibri" w:cs="Arial"/>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sz w:val="20"/>
          <w:szCs w:val="20"/>
        </w:rPr>
      </w:pPr>
    </w:p>
    <w:sectPr w:rsidR="00511150" w:rsidRPr="00BA6DDA"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150" w:rsidRDefault="00511150" w:rsidP="0002475B">
      <w:r>
        <w:separator/>
      </w:r>
    </w:p>
  </w:endnote>
  <w:endnote w:type="continuationSeparator" w:id="0">
    <w:p w:rsidR="00511150" w:rsidRDefault="00511150" w:rsidP="0002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Pr="00547EB6" w:rsidRDefault="00511150">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511150" w:rsidRPr="00547EB6" w:rsidRDefault="00511150">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D67504">
    <w:pPr>
      <w:pStyle w:val="Zpat"/>
      <w:jc w:val="center"/>
      <w:rPr>
        <w:rStyle w:val="slostrnky"/>
        <w:rFonts w:ascii="Calibri" w:hAnsi="Calibri"/>
      </w:rPr>
    </w:pPr>
  </w:p>
  <w:p w:rsidR="00511150" w:rsidRPr="00D67504" w:rsidRDefault="00511150" w:rsidP="00D67504">
    <w:pPr>
      <w:pStyle w:val="Zpat"/>
      <w:jc w:val="center"/>
      <w:rPr>
        <w:rFonts w:ascii="Calibri" w:hAnsi="Calibri"/>
      </w:rPr>
    </w:pPr>
    <w:r w:rsidRPr="00D67504">
      <w:rPr>
        <w:rStyle w:val="slostrnky"/>
        <w:rFonts w:ascii="Calibri" w:hAnsi="Calibri"/>
      </w:rPr>
      <w:fldChar w:fldCharType="begin"/>
    </w:r>
    <w:r w:rsidRPr="00D67504">
      <w:rPr>
        <w:rStyle w:val="slostrnky"/>
        <w:rFonts w:ascii="Calibri" w:hAnsi="Calibri"/>
      </w:rPr>
      <w:instrText xml:space="preserve"> PAGE </w:instrText>
    </w:r>
    <w:r w:rsidRPr="00D67504">
      <w:rPr>
        <w:rStyle w:val="slostrnky"/>
        <w:rFonts w:ascii="Calibri" w:hAnsi="Calibri"/>
      </w:rPr>
      <w:fldChar w:fldCharType="separate"/>
    </w:r>
    <w:r w:rsidR="009A5CC3">
      <w:rPr>
        <w:rStyle w:val="slostrnky"/>
        <w:rFonts w:ascii="Calibri" w:hAnsi="Calibri"/>
        <w:noProof/>
      </w:rPr>
      <w:t>16</w:t>
    </w:r>
    <w:r w:rsidRPr="00D67504">
      <w:rPr>
        <w:rStyle w:val="slostrnky"/>
        <w:rFonts w:ascii="Calibri" w:hAnsi="Calibri"/>
      </w:rPr>
      <w:fldChar w:fldCharType="end"/>
    </w:r>
    <w:r w:rsidRPr="00D67504">
      <w:rPr>
        <w:rStyle w:val="slostrnky"/>
        <w:rFonts w:ascii="Calibri" w:hAnsi="Calibri"/>
      </w:rPr>
      <w:t>/</w:t>
    </w:r>
    <w:r w:rsidRPr="00D67504">
      <w:rPr>
        <w:rStyle w:val="slostrnky"/>
        <w:rFonts w:ascii="Calibri" w:hAnsi="Calibri"/>
      </w:rPr>
      <w:fldChar w:fldCharType="begin"/>
    </w:r>
    <w:r w:rsidRPr="00D67504">
      <w:rPr>
        <w:rStyle w:val="slostrnky"/>
        <w:rFonts w:ascii="Calibri" w:hAnsi="Calibri"/>
      </w:rPr>
      <w:instrText xml:space="preserve"> NUMPAGES </w:instrText>
    </w:r>
    <w:r w:rsidRPr="00D67504">
      <w:rPr>
        <w:rStyle w:val="slostrnky"/>
        <w:rFonts w:ascii="Calibri" w:hAnsi="Calibri"/>
      </w:rPr>
      <w:fldChar w:fldCharType="separate"/>
    </w:r>
    <w:r w:rsidR="009A5CC3">
      <w:rPr>
        <w:rStyle w:val="slostrnky"/>
        <w:rFonts w:ascii="Calibri" w:hAnsi="Calibri"/>
        <w:noProof/>
      </w:rPr>
      <w:t>20</w:t>
    </w:r>
    <w:r w:rsidRPr="00D67504">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150" w:rsidRDefault="00511150" w:rsidP="0002475B">
      <w:r>
        <w:separator/>
      </w:r>
    </w:p>
  </w:footnote>
  <w:footnote w:type="continuationSeparator" w:id="0">
    <w:p w:rsidR="00511150" w:rsidRDefault="00511150" w:rsidP="00024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AB7882">
    <w:pPr>
      <w:pStyle w:val="Zhlav"/>
      <w:jc w:val="center"/>
    </w:pPr>
  </w:p>
  <w:p w:rsidR="00511150" w:rsidRDefault="00C72518"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511150" w:rsidRPr="00547EB6" w:rsidRDefault="00511150">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AB7882">
    <w:pPr>
      <w:pStyle w:val="Zhlav"/>
      <w:jc w:val="center"/>
    </w:pPr>
  </w:p>
  <w:p w:rsidR="00511150" w:rsidRDefault="009A5CC3"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511150" w:rsidRPr="00A8157D" w:rsidRDefault="00511150"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3E52F64"/>
    <w:multiLevelType w:val="hybridMultilevel"/>
    <w:tmpl w:val="83CA4E84"/>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8456D84"/>
    <w:multiLevelType w:val="hybridMultilevel"/>
    <w:tmpl w:val="5F60738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3"/>
  </w:num>
  <w:num w:numId="6">
    <w:abstractNumId w:val="9"/>
  </w:num>
  <w:num w:numId="7">
    <w:abstractNumId w:val="7"/>
  </w:num>
  <w:num w:numId="8">
    <w:abstractNumId w:val="1"/>
  </w:num>
  <w:num w:numId="9">
    <w:abstractNumId w:val="2"/>
  </w:num>
  <w:num w:numId="10">
    <w:abstractNumId w:val="0"/>
  </w:num>
  <w:num w:numId="11">
    <w:abstractNumId w:val="5"/>
  </w:num>
  <w:num w:numId="12">
    <w:abstractNumId w:val="14"/>
  </w:num>
  <w:num w:numId="13">
    <w:abstractNumId w:val="6"/>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F58"/>
    <w:rsid w:val="00006BEA"/>
    <w:rsid w:val="0001741B"/>
    <w:rsid w:val="0002475B"/>
    <w:rsid w:val="00025BA4"/>
    <w:rsid w:val="0002631A"/>
    <w:rsid w:val="00040861"/>
    <w:rsid w:val="000466AF"/>
    <w:rsid w:val="00055E23"/>
    <w:rsid w:val="000768BB"/>
    <w:rsid w:val="00090AA9"/>
    <w:rsid w:val="000A1EFD"/>
    <w:rsid w:val="000A3B46"/>
    <w:rsid w:val="000B3276"/>
    <w:rsid w:val="000D0DC6"/>
    <w:rsid w:val="001049E8"/>
    <w:rsid w:val="00111853"/>
    <w:rsid w:val="0012302D"/>
    <w:rsid w:val="00124CD0"/>
    <w:rsid w:val="0012534D"/>
    <w:rsid w:val="00130925"/>
    <w:rsid w:val="00131080"/>
    <w:rsid w:val="00157085"/>
    <w:rsid w:val="001733A7"/>
    <w:rsid w:val="00173E76"/>
    <w:rsid w:val="0019404E"/>
    <w:rsid w:val="001A53F5"/>
    <w:rsid w:val="001A5D27"/>
    <w:rsid w:val="001B4070"/>
    <w:rsid w:val="001C7046"/>
    <w:rsid w:val="001D7FD3"/>
    <w:rsid w:val="00204310"/>
    <w:rsid w:val="002119F3"/>
    <w:rsid w:val="00215AFC"/>
    <w:rsid w:val="00274133"/>
    <w:rsid w:val="00285276"/>
    <w:rsid w:val="00294CF6"/>
    <w:rsid w:val="002C4DA7"/>
    <w:rsid w:val="002F509F"/>
    <w:rsid w:val="0030459F"/>
    <w:rsid w:val="003173A3"/>
    <w:rsid w:val="00344974"/>
    <w:rsid w:val="00353924"/>
    <w:rsid w:val="00361D35"/>
    <w:rsid w:val="00362B45"/>
    <w:rsid w:val="00382579"/>
    <w:rsid w:val="003A4A06"/>
    <w:rsid w:val="003C1DC5"/>
    <w:rsid w:val="003D683B"/>
    <w:rsid w:val="003E4C14"/>
    <w:rsid w:val="003F1DDE"/>
    <w:rsid w:val="003F1EA7"/>
    <w:rsid w:val="00401F40"/>
    <w:rsid w:val="00406311"/>
    <w:rsid w:val="00431C25"/>
    <w:rsid w:val="00453C26"/>
    <w:rsid w:val="00467FDE"/>
    <w:rsid w:val="004A099E"/>
    <w:rsid w:val="004C6B62"/>
    <w:rsid w:val="004D3AA8"/>
    <w:rsid w:val="004E37D7"/>
    <w:rsid w:val="004E78A5"/>
    <w:rsid w:val="004F38D3"/>
    <w:rsid w:val="00511150"/>
    <w:rsid w:val="005437B1"/>
    <w:rsid w:val="00547EB6"/>
    <w:rsid w:val="00550D18"/>
    <w:rsid w:val="00552984"/>
    <w:rsid w:val="00591214"/>
    <w:rsid w:val="005B171E"/>
    <w:rsid w:val="005B1A6D"/>
    <w:rsid w:val="00614010"/>
    <w:rsid w:val="00636AE5"/>
    <w:rsid w:val="00655E75"/>
    <w:rsid w:val="00671F58"/>
    <w:rsid w:val="00681DBF"/>
    <w:rsid w:val="00694039"/>
    <w:rsid w:val="006A7A9E"/>
    <w:rsid w:val="006B176D"/>
    <w:rsid w:val="006B2D3C"/>
    <w:rsid w:val="006C2254"/>
    <w:rsid w:val="006D3884"/>
    <w:rsid w:val="006E4AC4"/>
    <w:rsid w:val="006E6C98"/>
    <w:rsid w:val="006F2A22"/>
    <w:rsid w:val="00706F53"/>
    <w:rsid w:val="007133E2"/>
    <w:rsid w:val="007378F2"/>
    <w:rsid w:val="0074576A"/>
    <w:rsid w:val="007736F5"/>
    <w:rsid w:val="00777AF0"/>
    <w:rsid w:val="007A5384"/>
    <w:rsid w:val="007E1CDB"/>
    <w:rsid w:val="007E3B32"/>
    <w:rsid w:val="007E4BE6"/>
    <w:rsid w:val="007F190F"/>
    <w:rsid w:val="0080794E"/>
    <w:rsid w:val="008133D2"/>
    <w:rsid w:val="008156A9"/>
    <w:rsid w:val="00815EF7"/>
    <w:rsid w:val="00817EF8"/>
    <w:rsid w:val="008218A0"/>
    <w:rsid w:val="00823279"/>
    <w:rsid w:val="008331F2"/>
    <w:rsid w:val="00833599"/>
    <w:rsid w:val="008550D4"/>
    <w:rsid w:val="00875A3C"/>
    <w:rsid w:val="008805E2"/>
    <w:rsid w:val="00880AF6"/>
    <w:rsid w:val="00892DFF"/>
    <w:rsid w:val="008A1E84"/>
    <w:rsid w:val="008C7747"/>
    <w:rsid w:val="008C7C24"/>
    <w:rsid w:val="008D0B49"/>
    <w:rsid w:val="008D12E5"/>
    <w:rsid w:val="008D3ED2"/>
    <w:rsid w:val="008E08FC"/>
    <w:rsid w:val="008F502B"/>
    <w:rsid w:val="00900998"/>
    <w:rsid w:val="00914F7A"/>
    <w:rsid w:val="009204CC"/>
    <w:rsid w:val="00921B09"/>
    <w:rsid w:val="00922289"/>
    <w:rsid w:val="0094388D"/>
    <w:rsid w:val="00950C71"/>
    <w:rsid w:val="009764A5"/>
    <w:rsid w:val="00980B8E"/>
    <w:rsid w:val="00987F25"/>
    <w:rsid w:val="009A5CC3"/>
    <w:rsid w:val="009B56A7"/>
    <w:rsid w:val="009C1E6D"/>
    <w:rsid w:val="009C36F3"/>
    <w:rsid w:val="009D2F70"/>
    <w:rsid w:val="00A04E3F"/>
    <w:rsid w:val="00A22C1D"/>
    <w:rsid w:val="00A8157D"/>
    <w:rsid w:val="00A870F3"/>
    <w:rsid w:val="00A96893"/>
    <w:rsid w:val="00AB6FC4"/>
    <w:rsid w:val="00AB7882"/>
    <w:rsid w:val="00AD1D01"/>
    <w:rsid w:val="00AD5A31"/>
    <w:rsid w:val="00AF0E4F"/>
    <w:rsid w:val="00B1194C"/>
    <w:rsid w:val="00B20A71"/>
    <w:rsid w:val="00B24BC8"/>
    <w:rsid w:val="00B34E1B"/>
    <w:rsid w:val="00B444C6"/>
    <w:rsid w:val="00B64CAE"/>
    <w:rsid w:val="00B66EA3"/>
    <w:rsid w:val="00B67DF2"/>
    <w:rsid w:val="00B70E89"/>
    <w:rsid w:val="00B83861"/>
    <w:rsid w:val="00B9052A"/>
    <w:rsid w:val="00BA6DDA"/>
    <w:rsid w:val="00BB5C87"/>
    <w:rsid w:val="00BD3D21"/>
    <w:rsid w:val="00BE4B63"/>
    <w:rsid w:val="00BE5364"/>
    <w:rsid w:val="00BF05F8"/>
    <w:rsid w:val="00BF1240"/>
    <w:rsid w:val="00BF14AA"/>
    <w:rsid w:val="00BF3F8B"/>
    <w:rsid w:val="00C15BB1"/>
    <w:rsid w:val="00C23CFD"/>
    <w:rsid w:val="00C33CEC"/>
    <w:rsid w:val="00C4296F"/>
    <w:rsid w:val="00C42EB1"/>
    <w:rsid w:val="00C72518"/>
    <w:rsid w:val="00C843D1"/>
    <w:rsid w:val="00C85002"/>
    <w:rsid w:val="00CA190E"/>
    <w:rsid w:val="00CA4902"/>
    <w:rsid w:val="00CB101C"/>
    <w:rsid w:val="00CC0327"/>
    <w:rsid w:val="00CD1C9F"/>
    <w:rsid w:val="00CD3ECD"/>
    <w:rsid w:val="00CE7EC0"/>
    <w:rsid w:val="00D120DA"/>
    <w:rsid w:val="00D179DF"/>
    <w:rsid w:val="00D36BFC"/>
    <w:rsid w:val="00D53210"/>
    <w:rsid w:val="00D67504"/>
    <w:rsid w:val="00D937C3"/>
    <w:rsid w:val="00D95443"/>
    <w:rsid w:val="00DB5F94"/>
    <w:rsid w:val="00DC3842"/>
    <w:rsid w:val="00DE032E"/>
    <w:rsid w:val="00DE5E85"/>
    <w:rsid w:val="00E0264F"/>
    <w:rsid w:val="00E05E9B"/>
    <w:rsid w:val="00E21E6E"/>
    <w:rsid w:val="00E27813"/>
    <w:rsid w:val="00E33FD3"/>
    <w:rsid w:val="00E42CC8"/>
    <w:rsid w:val="00E462E2"/>
    <w:rsid w:val="00E50D6C"/>
    <w:rsid w:val="00E65C30"/>
    <w:rsid w:val="00E65DD4"/>
    <w:rsid w:val="00E73CA2"/>
    <w:rsid w:val="00EB70EE"/>
    <w:rsid w:val="00EE4F31"/>
    <w:rsid w:val="00F06F8C"/>
    <w:rsid w:val="00F34163"/>
    <w:rsid w:val="00F7160C"/>
    <w:rsid w:val="00F87B46"/>
    <w:rsid w:val="00FA5F28"/>
    <w:rsid w:val="00FA6037"/>
    <w:rsid w:val="00FB1387"/>
    <w:rsid w:val="00FC08E7"/>
    <w:rsid w:val="00FE24E7"/>
    <w:rsid w:val="00FE473C"/>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6DDA"/>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71F58"/>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671F58"/>
    <w:rPr>
      <w:rFonts w:ascii="Times New Roman" w:hAnsi="Times New Roman" w:cs="Times New Roman"/>
      <w:sz w:val="20"/>
      <w:szCs w:val="20"/>
      <w:lang w:val="en-GB" w:eastAsia="cs-CZ"/>
    </w:rPr>
  </w:style>
  <w:style w:type="character" w:styleId="slostrnky">
    <w:name w:val="page number"/>
    <w:basedOn w:val="Standardnpsmoodstavce"/>
    <w:uiPriority w:val="99"/>
    <w:rsid w:val="00671F58"/>
    <w:rPr>
      <w:rFonts w:cs="Times New Roman"/>
    </w:rPr>
  </w:style>
  <w:style w:type="paragraph" w:styleId="Zhlav">
    <w:name w:val="header"/>
    <w:basedOn w:val="Normln"/>
    <w:link w:val="ZhlavChar"/>
    <w:uiPriority w:val="99"/>
    <w:rsid w:val="00671F58"/>
    <w:pPr>
      <w:tabs>
        <w:tab w:val="center" w:pos="4536"/>
        <w:tab w:val="right" w:pos="9072"/>
      </w:tabs>
    </w:pPr>
  </w:style>
  <w:style w:type="character" w:customStyle="1" w:styleId="ZhlavChar">
    <w:name w:val="Záhlaví Char"/>
    <w:basedOn w:val="Standardnpsmoodstavce"/>
    <w:link w:val="Zhlav"/>
    <w:uiPriority w:val="99"/>
    <w:locked/>
    <w:rsid w:val="00671F58"/>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671F58"/>
    <w:pPr>
      <w:widowControl w:val="0"/>
      <w:ind w:left="765"/>
      <w:jc w:val="both"/>
    </w:pPr>
    <w:rPr>
      <w:szCs w:val="20"/>
    </w:rPr>
  </w:style>
  <w:style w:type="paragraph" w:customStyle="1" w:styleId="BodyA">
    <w:name w:val="Body A"/>
    <w:uiPriority w:val="99"/>
    <w:rsid w:val="00671F58"/>
    <w:rPr>
      <w:rFonts w:ascii="Helvetica" w:hAnsi="Helvetica"/>
      <w:color w:val="000000"/>
      <w:sz w:val="24"/>
      <w:szCs w:val="20"/>
      <w:lang w:val="en-US"/>
    </w:rPr>
  </w:style>
  <w:style w:type="paragraph" w:customStyle="1" w:styleId="FreeFormA">
    <w:name w:val="Free Form A"/>
    <w:uiPriority w:val="99"/>
    <w:rsid w:val="00671F58"/>
    <w:rPr>
      <w:rFonts w:ascii="Times New Roman" w:hAnsi="Times New Roman"/>
      <w:color w:val="000000"/>
      <w:sz w:val="20"/>
      <w:szCs w:val="20"/>
    </w:rPr>
  </w:style>
  <w:style w:type="paragraph" w:styleId="Odstavecseseznamem">
    <w:name w:val="List Paragraph"/>
    <w:basedOn w:val="Normln"/>
    <w:uiPriority w:val="99"/>
    <w:qFormat/>
    <w:rsid w:val="00671F58"/>
    <w:pPr>
      <w:ind w:left="708"/>
    </w:pPr>
  </w:style>
  <w:style w:type="paragraph" w:customStyle="1" w:styleId="VZnadpis1">
    <w:name w:val="VZ_nadpis 1"/>
    <w:basedOn w:val="Normln"/>
    <w:uiPriority w:val="99"/>
    <w:rsid w:val="00671F58"/>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671F58"/>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671F58"/>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D6750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rPr>
  </w:style>
  <w:style w:type="character" w:styleId="Odkaznakoment">
    <w:name w:val="annotation reference"/>
    <w:basedOn w:val="Standardnpsmoodstavce"/>
    <w:uiPriority w:val="99"/>
    <w:semiHidden/>
    <w:rsid w:val="00BF1240"/>
    <w:rPr>
      <w:rFonts w:cs="Times New Roman"/>
      <w:sz w:val="16"/>
      <w:szCs w:val="16"/>
    </w:rPr>
  </w:style>
  <w:style w:type="paragraph" w:styleId="Textkomente">
    <w:name w:val="annotation text"/>
    <w:basedOn w:val="Normln"/>
    <w:link w:val="TextkomenteChar"/>
    <w:uiPriority w:val="99"/>
    <w:semiHidden/>
    <w:rsid w:val="00BF1240"/>
    <w:rPr>
      <w:sz w:val="20"/>
      <w:szCs w:val="20"/>
    </w:rPr>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F1240"/>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30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Pages>
  <Words>5471</Words>
  <Characters>32279</Characters>
  <Application>Microsoft Office Word</Application>
  <DocSecurity>0</DocSecurity>
  <Lines>268</Lines>
  <Paragraphs>75</Paragraphs>
  <ScaleCrop>false</ScaleCrop>
  <Company>Hewlett-Packard Company</Company>
  <LinksUpToDate>false</LinksUpToDate>
  <CharactersWithSpaces>37675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Michaela Kudryová</dc:creator>
  <cp:keywords/>
  <dc:description/>
  <cp:lastModifiedBy>Beránek Jan Bc. (MPSV)</cp:lastModifiedBy>
  <cp:revision>24</cp:revision>
  <cp:lastPrinted>2014-09-11T09:01:00Z</cp:lastPrinted>
  <dcterms:created xsi:type="dcterms:W3CDTF">2014-09-24T16:26:00Z</dcterms:created>
  <dcterms:modified xsi:type="dcterms:W3CDTF">2014-10-21T09:45:00Z</dcterms:modified>
</cp:coreProperties>
</file>