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9148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Poskytování služeb projektového řízení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9148D1">
        <w:rPr>
          <w:rFonts w:cs="Arial"/>
          <w:sz w:val="20"/>
          <w:szCs w:val="20"/>
          <w:lang w:val="en-US"/>
        </w:rPr>
        <w:t>515364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FF11EF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95EAA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95EAA">
        <w:rPr>
          <w:rFonts w:ascii="Arial" w:hAnsi="Arial" w:cs="Arial"/>
          <w:i/>
          <w:sz w:val="20"/>
          <w:szCs w:val="20"/>
          <w:u w:val="single"/>
        </w:rPr>
        <w:lastRenderedPageBreak/>
        <w:t>MPSV</w:t>
      </w:r>
      <w:r w:rsidRPr="00095EAA">
        <w:rPr>
          <w:rFonts w:ascii="Arial" w:hAnsi="Arial" w:cs="Arial"/>
          <w:i/>
          <w:sz w:val="20"/>
          <w:szCs w:val="20"/>
          <w:u w:val="single"/>
        </w:rPr>
        <w:t>, jako zadavatel shora uvedené veřejné zakázky</w:t>
      </w:r>
      <w:r w:rsidR="00DF5417" w:rsidRPr="00095EAA">
        <w:rPr>
          <w:rFonts w:ascii="Arial" w:hAnsi="Arial" w:cs="Arial"/>
          <w:i/>
          <w:sz w:val="20"/>
          <w:szCs w:val="20"/>
          <w:u w:val="single"/>
        </w:rPr>
        <w:t>,</w:t>
      </w:r>
      <w:r w:rsidR="00307CCF" w:rsidRPr="00095EAA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9148D1" w:rsidRPr="00095EAA">
        <w:rPr>
          <w:rFonts w:ascii="Arial" w:hAnsi="Arial" w:cs="Arial"/>
          <w:i/>
          <w:sz w:val="20"/>
          <w:szCs w:val="20"/>
          <w:u w:val="single"/>
        </w:rPr>
        <w:t>poskytuje následující dodatečnou informaci</w:t>
      </w:r>
      <w:r w:rsidR="00262849" w:rsidRPr="00095EAA">
        <w:rPr>
          <w:rFonts w:ascii="Arial" w:hAnsi="Arial" w:cs="Arial"/>
          <w:i/>
          <w:sz w:val="20"/>
          <w:szCs w:val="20"/>
          <w:u w:val="single"/>
        </w:rPr>
        <w:t xml:space="preserve"> k zadávacím podmínkám</w:t>
      </w:r>
      <w:r w:rsidR="009148D1" w:rsidRPr="00095EAA">
        <w:rPr>
          <w:rFonts w:ascii="Arial" w:hAnsi="Arial" w:cs="Arial"/>
          <w:i/>
          <w:sz w:val="20"/>
          <w:szCs w:val="20"/>
          <w:u w:val="single"/>
        </w:rPr>
        <w:t>: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MPSV, jako zadavatel shora uvedené veřejné zakázky, obdrželo dne 20</w:t>
      </w:r>
      <w:r w:rsidRPr="00095EAA">
        <w:rPr>
          <w:rFonts w:ascii="Arial" w:hAnsi="Arial" w:cs="Arial"/>
          <w:sz w:val="20"/>
          <w:szCs w:val="20"/>
          <w:lang w:eastAsia="en-US" w:bidi="en-US"/>
        </w:rPr>
        <w:t xml:space="preserve">. 7. 2016 </w:t>
      </w:r>
      <w:r w:rsidRPr="00095EAA">
        <w:rPr>
          <w:rFonts w:ascii="Arial" w:hAnsi="Arial" w:cs="Arial"/>
          <w:sz w:val="20"/>
          <w:szCs w:val="20"/>
        </w:rPr>
        <w:t xml:space="preserve">žádost o poskytnutí dodatečných informací k zadávacím podmínkám. </w:t>
      </w:r>
    </w:p>
    <w:p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1</w:t>
      </w:r>
      <w:r w:rsidRPr="00095EAA">
        <w:rPr>
          <w:rFonts w:ascii="Arial" w:hAnsi="Arial" w:cs="Arial"/>
          <w:sz w:val="20"/>
          <w:szCs w:val="20"/>
        </w:rPr>
        <w:t>: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 xml:space="preserve">Zadavatel v Zadávací dokumentaci (dále též „ZD“), příloha </w:t>
      </w:r>
      <w:proofErr w:type="gramStart"/>
      <w:r w:rsidRPr="00095EAA">
        <w:rPr>
          <w:rFonts w:ascii="Arial" w:hAnsi="Arial" w:cs="Arial"/>
          <w:color w:val="000000"/>
          <w:sz w:val="20"/>
          <w:szCs w:val="20"/>
        </w:rPr>
        <w:t>č.1 „Kvalifikační</w:t>
      </w:r>
      <w:proofErr w:type="gramEnd"/>
      <w:r w:rsidRPr="00095EAA">
        <w:rPr>
          <w:rFonts w:ascii="Arial" w:hAnsi="Arial" w:cs="Arial"/>
          <w:color w:val="000000"/>
          <w:sz w:val="20"/>
          <w:szCs w:val="20"/>
        </w:rPr>
        <w:t xml:space="preserve"> dokumentace“, kap.5 definuje významnou službu odpovídající druhu, rozsahu a složitosti předmětu plnění veřejné zakázky. Zadavatel uvedl, že „</w:t>
      </w:r>
      <w:r w:rsidRPr="00095EAA">
        <w:rPr>
          <w:rFonts w:ascii="Arial" w:hAnsi="Arial" w:cs="Arial"/>
          <w:i/>
          <w:color w:val="000000"/>
          <w:sz w:val="20"/>
          <w:szCs w:val="20"/>
        </w:rPr>
        <w:t>… do finančního plnění referenčních služeb se nezapočítává cena dodávek HW ani cena vývoje SW a finanční plnění tak může zahrnovat pouze cenu za služby řízení ICT projektů</w:t>
      </w:r>
      <w:r w:rsidRPr="00095EAA">
        <w:rPr>
          <w:rFonts w:ascii="Arial" w:hAnsi="Arial" w:cs="Arial"/>
          <w:color w:val="000000"/>
          <w:sz w:val="20"/>
          <w:szCs w:val="20"/>
        </w:rPr>
        <w:t>“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 xml:space="preserve">Uchazeč předpokládá, že do finančního objemu významné službu odpovídající druhu, rozsahu a složitosti předmětu plnění veřejné zakázky, mohou být zahrnuty veškeré služby odpovídající definici požadovaných služeb obsažených v ZD, Příloha </w:t>
      </w:r>
      <w:proofErr w:type="gramStart"/>
      <w:r w:rsidRPr="00095EAA">
        <w:rPr>
          <w:rFonts w:ascii="Arial" w:hAnsi="Arial" w:cs="Arial"/>
          <w:color w:val="000000"/>
          <w:sz w:val="20"/>
          <w:szCs w:val="20"/>
        </w:rPr>
        <w:t>č.6 „Rozsah</w:t>
      </w:r>
      <w:proofErr w:type="gramEnd"/>
      <w:r w:rsidRPr="00095EAA">
        <w:rPr>
          <w:rFonts w:ascii="Arial" w:hAnsi="Arial" w:cs="Arial"/>
          <w:color w:val="000000"/>
          <w:sz w:val="20"/>
          <w:szCs w:val="20"/>
        </w:rPr>
        <w:t xml:space="preserve"> poskytovaných služeb“ a to s vyloučením ceny dodávek HW a ceny vývoje SW.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>Prosíme Zadavatele o potvrzení správnosti tohoto předpokladu.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4170D" w:rsidRPr="00095EAA" w:rsidRDefault="0014170D" w:rsidP="004308A5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95EAA">
        <w:rPr>
          <w:rFonts w:ascii="Arial" w:hAnsi="Arial" w:cs="Arial"/>
          <w:i/>
          <w:sz w:val="20"/>
          <w:szCs w:val="20"/>
        </w:rPr>
        <w:t xml:space="preserve">Zadavatel v obecné rovině uvádí, že </w:t>
      </w:r>
      <w:r w:rsidR="007A5679" w:rsidRPr="00095EAA">
        <w:rPr>
          <w:rFonts w:ascii="Arial" w:hAnsi="Arial" w:cs="Arial"/>
          <w:i/>
          <w:sz w:val="20"/>
          <w:szCs w:val="20"/>
        </w:rPr>
        <w:t xml:space="preserve">předmětem </w:t>
      </w:r>
      <w:r w:rsidR="002B16B3" w:rsidRPr="00095EAA">
        <w:rPr>
          <w:rFonts w:ascii="Arial" w:hAnsi="Arial" w:cs="Arial"/>
          <w:i/>
          <w:sz w:val="20"/>
          <w:szCs w:val="20"/>
        </w:rPr>
        <w:t>referenční</w:t>
      </w:r>
      <w:r w:rsidR="007A5679" w:rsidRPr="00095EAA">
        <w:rPr>
          <w:rFonts w:ascii="Arial" w:hAnsi="Arial" w:cs="Arial"/>
          <w:i/>
          <w:sz w:val="20"/>
          <w:szCs w:val="20"/>
        </w:rPr>
        <w:t xml:space="preserve"> služby mohou být všechna plnění odpovídající definici požadovaných služeb obsažených v ZD, Příloha č. 6 „Rozsah poskytovaných služeb“, takže jimi nemohou být dodávky HW ani vývoj SW. Zadavatel nicméně upozorňuje, že relevantní p</w:t>
      </w:r>
      <w:r w:rsidRPr="00095EAA">
        <w:rPr>
          <w:rFonts w:ascii="Arial" w:hAnsi="Arial" w:cs="Arial"/>
          <w:i/>
          <w:sz w:val="20"/>
          <w:szCs w:val="20"/>
        </w:rPr>
        <w:t xml:space="preserve">osouzení, zda daná referenční služba splňuje požadavek zadavatele, přísluší </w:t>
      </w:r>
      <w:r w:rsidR="007A5679" w:rsidRPr="00095EAA">
        <w:rPr>
          <w:rFonts w:ascii="Arial" w:hAnsi="Arial" w:cs="Arial"/>
          <w:i/>
          <w:sz w:val="20"/>
          <w:szCs w:val="20"/>
        </w:rPr>
        <w:t xml:space="preserve">pouze </w:t>
      </w:r>
      <w:r w:rsidRPr="00095EAA">
        <w:rPr>
          <w:rFonts w:ascii="Arial" w:hAnsi="Arial" w:cs="Arial"/>
          <w:i/>
          <w:sz w:val="20"/>
          <w:szCs w:val="20"/>
        </w:rPr>
        <w:t>hodnotící komisi, která bude k tomuto účelu ustavena</w:t>
      </w:r>
      <w:r w:rsidR="007A5679" w:rsidRPr="00095EAA">
        <w:rPr>
          <w:rFonts w:ascii="Arial" w:hAnsi="Arial" w:cs="Arial"/>
          <w:i/>
          <w:sz w:val="20"/>
          <w:szCs w:val="20"/>
        </w:rPr>
        <w:t>.</w:t>
      </w:r>
      <w:r w:rsidRPr="00095EAA">
        <w:rPr>
          <w:rFonts w:ascii="Arial" w:hAnsi="Arial" w:cs="Arial"/>
          <w:i/>
          <w:sz w:val="20"/>
          <w:szCs w:val="20"/>
        </w:rPr>
        <w:t xml:space="preserve"> Zadavatel má za to, že p</w:t>
      </w:r>
      <w:r w:rsidRPr="00095EAA">
        <w:rPr>
          <w:rFonts w:ascii="Arial" w:hAnsi="Arial" w:cs="Arial"/>
          <w:i/>
          <w:sz w:val="20"/>
          <w:szCs w:val="20"/>
          <w:lang w:eastAsia="sk-SK"/>
        </w:rPr>
        <w:t>ožadavky na prokázání splnění kvalifikace jsou vymezeny jednoznačně, určitě a srozumitelně</w:t>
      </w:r>
      <w:r w:rsidR="007A5679" w:rsidRPr="00095EAA">
        <w:rPr>
          <w:rFonts w:ascii="Arial" w:hAnsi="Arial" w:cs="Arial"/>
          <w:i/>
          <w:sz w:val="20"/>
          <w:szCs w:val="20"/>
          <w:lang w:eastAsia="sk-SK"/>
        </w:rPr>
        <w:t xml:space="preserve"> a není důvod jejich vymezení jakkoliv upravovat</w:t>
      </w:r>
      <w:r w:rsidRPr="00095EAA">
        <w:rPr>
          <w:rFonts w:ascii="Arial" w:hAnsi="Arial" w:cs="Arial"/>
          <w:i/>
          <w:sz w:val="20"/>
          <w:szCs w:val="20"/>
          <w:lang w:eastAsia="sk-SK"/>
        </w:rPr>
        <w:t>.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2</w:t>
      </w:r>
      <w:r w:rsidRPr="00095EAA">
        <w:rPr>
          <w:rFonts w:ascii="Arial" w:hAnsi="Arial" w:cs="Arial"/>
          <w:sz w:val="20"/>
          <w:szCs w:val="20"/>
        </w:rPr>
        <w:t>: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 xml:space="preserve">Zadavatel v Zadávací dokumentaci, příloha </w:t>
      </w:r>
      <w:proofErr w:type="gramStart"/>
      <w:r w:rsidRPr="00095EAA">
        <w:rPr>
          <w:rFonts w:ascii="Arial" w:hAnsi="Arial" w:cs="Arial"/>
          <w:color w:val="000000"/>
          <w:sz w:val="20"/>
          <w:szCs w:val="20"/>
        </w:rPr>
        <w:t>č.1 „Kvalifikační</w:t>
      </w:r>
      <w:proofErr w:type="gramEnd"/>
      <w:r w:rsidRPr="00095EAA">
        <w:rPr>
          <w:rFonts w:ascii="Arial" w:hAnsi="Arial" w:cs="Arial"/>
          <w:color w:val="000000"/>
          <w:sz w:val="20"/>
          <w:szCs w:val="20"/>
        </w:rPr>
        <w:t xml:space="preserve"> dokumentace“, kap.5 uvádí </w:t>
      </w:r>
      <w:r w:rsidRPr="00095EAA">
        <w:rPr>
          <w:rFonts w:ascii="Arial" w:hAnsi="Arial" w:cs="Arial"/>
          <w:sz w:val="20"/>
          <w:szCs w:val="20"/>
        </w:rPr>
        <w:t>„</w:t>
      </w:r>
      <w:r w:rsidRPr="00095EAA">
        <w:rPr>
          <w:rFonts w:ascii="Arial" w:hAnsi="Arial" w:cs="Arial"/>
          <w:i/>
          <w:sz w:val="20"/>
          <w:szCs w:val="20"/>
        </w:rPr>
        <w:t>minimálně jedna referenční služba spočívala v řízení projektů rozsáhlých informačních systémů zpracovávajících velké objemy dat, kde souhrnná hodnota (finanční objem) takových projektů (a/nebo pořizovací náklady uvedených rozsáhlých informačních systémů) činila minimálně 30.000.000,- Kč bez DPH</w:t>
      </w:r>
      <w:r w:rsidRPr="00095EAA">
        <w:rPr>
          <w:rFonts w:ascii="Arial" w:hAnsi="Arial" w:cs="Arial"/>
          <w:sz w:val="20"/>
          <w:szCs w:val="20"/>
        </w:rPr>
        <w:t>“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>Uchazeč rozumí tomuto požadavku následovně:</w:t>
      </w:r>
    </w:p>
    <w:p w:rsidR="00FF11EF" w:rsidRPr="00095EAA" w:rsidRDefault="00FF11EF" w:rsidP="00FF11EF">
      <w:pPr>
        <w:numPr>
          <w:ilvl w:val="0"/>
          <w:numId w:val="37"/>
        </w:num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>hodnota služby řízení ICT projektů takové referenční služby musí být minimálně 10.000.000,- Kč bez DPH, případně musí přesahovat 15.000.000,- Kč bez DPH</w:t>
      </w:r>
    </w:p>
    <w:p w:rsidR="00FF11EF" w:rsidRPr="00095EAA" w:rsidRDefault="00FF11EF" w:rsidP="00FF11EF">
      <w:pPr>
        <w:numPr>
          <w:ilvl w:val="0"/>
          <w:numId w:val="37"/>
        </w:num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>hodnota samotných řízených projektů rozsáhlých informačních systémů musí činit minimálně 30.000.000,- Kč bez DPH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>Prosíme Zadavatele o potvrzení správnosti upřesnění výše uvedeného požadavku ZD.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255B63" w:rsidRPr="00095EAA" w:rsidRDefault="002B16B3" w:rsidP="007A5679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95EAA">
        <w:rPr>
          <w:rFonts w:ascii="Arial" w:hAnsi="Arial" w:cs="Arial"/>
          <w:i/>
          <w:sz w:val="20"/>
          <w:szCs w:val="20"/>
        </w:rPr>
        <w:t xml:space="preserve">Zadavatel potvrzuje, že v bodě 5 Kvalifikační dokumentace stanovil, že </w:t>
      </w:r>
      <w:r w:rsidRPr="00095EAA">
        <w:rPr>
          <w:rFonts w:ascii="Arial" w:hAnsi="Arial" w:cs="Arial"/>
          <w:i/>
          <w:sz w:val="20"/>
          <w:szCs w:val="20"/>
          <w:u w:val="single"/>
        </w:rPr>
        <w:t>minimálně jedna</w:t>
      </w:r>
      <w:r w:rsidRPr="00095EAA">
        <w:rPr>
          <w:rFonts w:ascii="Arial" w:hAnsi="Arial" w:cs="Arial"/>
          <w:i/>
          <w:sz w:val="20"/>
          <w:szCs w:val="20"/>
        </w:rPr>
        <w:t xml:space="preserve"> referenční služba musela spočívat v řízení projektů rozsáhlých informačních systémů zpracovávajících velké objemy dat, kde souhrnná hodnota (finanční objem) takových projektů (a/nebo pořizovací náklady uvedených rozsáhlých informačních systémů) činila minimálně 30.000.000,- Kč bez DPH (myšleno </w:t>
      </w:r>
      <w:r w:rsidRPr="00095EAA">
        <w:rPr>
          <w:rFonts w:ascii="Arial" w:hAnsi="Arial" w:cs="Arial"/>
          <w:i/>
          <w:sz w:val="20"/>
          <w:szCs w:val="20"/>
        </w:rPr>
        <w:lastRenderedPageBreak/>
        <w:t>hodnota samotných řízených projektů). Minimálně jedna z uchazečem předložených referenčních služeb tedy musí tento požadavek splňovat, přičemž samozřejmě musí splňovat i obecný požadavek, že minimální finanční objem každé referenční služby nesmí činit méně než 10 mil. Kč bez DPH</w:t>
      </w:r>
      <w:r w:rsidR="007A5679" w:rsidRPr="00095EAA">
        <w:rPr>
          <w:rFonts w:ascii="Arial" w:hAnsi="Arial" w:cs="Arial"/>
          <w:i/>
          <w:sz w:val="20"/>
          <w:szCs w:val="20"/>
          <w:lang w:eastAsia="sk-SK"/>
        </w:rPr>
        <w:t>.</w:t>
      </w:r>
      <w:r w:rsidR="00321AF4" w:rsidRPr="00095EAA">
        <w:rPr>
          <w:rFonts w:ascii="Arial" w:hAnsi="Arial" w:cs="Arial"/>
          <w:i/>
          <w:sz w:val="20"/>
          <w:szCs w:val="20"/>
        </w:rPr>
        <w:t xml:space="preserve">                                   </w:t>
      </w:r>
    </w:p>
    <w:p w:rsidR="00157ABA" w:rsidRPr="00095EAA" w:rsidRDefault="00157ABA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3</w:t>
      </w:r>
      <w:r w:rsidRPr="00095EAA">
        <w:rPr>
          <w:rFonts w:ascii="Arial" w:hAnsi="Arial" w:cs="Arial"/>
          <w:sz w:val="20"/>
          <w:szCs w:val="20"/>
        </w:rPr>
        <w:t>: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 xml:space="preserve">Zadavatel v Zadávací dokumentaci, příloha </w:t>
      </w:r>
      <w:proofErr w:type="gramStart"/>
      <w:r w:rsidRPr="00095EAA">
        <w:rPr>
          <w:rFonts w:ascii="Arial" w:hAnsi="Arial" w:cs="Arial"/>
          <w:color w:val="000000"/>
          <w:sz w:val="20"/>
          <w:szCs w:val="20"/>
        </w:rPr>
        <w:t>č.1 „Kvalifikační</w:t>
      </w:r>
      <w:proofErr w:type="gramEnd"/>
      <w:r w:rsidRPr="00095EAA">
        <w:rPr>
          <w:rFonts w:ascii="Arial" w:hAnsi="Arial" w:cs="Arial"/>
          <w:color w:val="000000"/>
          <w:sz w:val="20"/>
          <w:szCs w:val="20"/>
        </w:rPr>
        <w:t xml:space="preserve"> dokumentace“, kap.5 uvádí </w:t>
      </w:r>
      <w:r w:rsidRPr="00095EAA">
        <w:rPr>
          <w:rFonts w:ascii="Arial" w:hAnsi="Arial" w:cs="Arial"/>
          <w:sz w:val="20"/>
          <w:szCs w:val="20"/>
        </w:rPr>
        <w:t>u role „Vedoucí projektového týmu“ je uveden požadavek „</w:t>
      </w:r>
      <w:r w:rsidRPr="00095EAA">
        <w:rPr>
          <w:rFonts w:ascii="Arial" w:hAnsi="Arial" w:cs="Arial"/>
          <w:i/>
          <w:sz w:val="20"/>
          <w:szCs w:val="20"/>
        </w:rPr>
        <w:t xml:space="preserve">platný mezinárodně uznávaný certifikát pro projektový management na úrovni alespoň IPMA-B nebo PMI-PMP nebo PRINCE2 </w:t>
      </w:r>
      <w:proofErr w:type="spellStart"/>
      <w:r w:rsidRPr="00095EAA">
        <w:rPr>
          <w:rFonts w:ascii="Arial" w:hAnsi="Arial" w:cs="Arial"/>
          <w:i/>
          <w:sz w:val="20"/>
          <w:szCs w:val="20"/>
        </w:rPr>
        <w:t>Practitioner</w:t>
      </w:r>
      <w:proofErr w:type="spellEnd"/>
      <w:r w:rsidRPr="00095EAA">
        <w:rPr>
          <w:rFonts w:ascii="Arial" w:hAnsi="Arial" w:cs="Arial"/>
          <w:i/>
          <w:sz w:val="20"/>
          <w:szCs w:val="20"/>
        </w:rPr>
        <w:t xml:space="preserve"> nebo ISO 10006 Project </w:t>
      </w:r>
      <w:proofErr w:type="spellStart"/>
      <w:r w:rsidRPr="00095EAA">
        <w:rPr>
          <w:rFonts w:ascii="Arial" w:hAnsi="Arial" w:cs="Arial"/>
          <w:i/>
          <w:sz w:val="20"/>
          <w:szCs w:val="20"/>
        </w:rPr>
        <w:t>Manager</w:t>
      </w:r>
      <w:proofErr w:type="spellEnd"/>
      <w:r w:rsidRPr="00095EAA">
        <w:rPr>
          <w:rFonts w:ascii="Arial" w:hAnsi="Arial" w:cs="Arial"/>
          <w:i/>
          <w:sz w:val="20"/>
          <w:szCs w:val="20"/>
        </w:rPr>
        <w:t xml:space="preserve"> nebo obdobný</w:t>
      </w:r>
      <w:r w:rsidRPr="00095EAA">
        <w:rPr>
          <w:rFonts w:ascii="Arial" w:hAnsi="Arial" w:cs="Arial"/>
          <w:sz w:val="20"/>
          <w:szCs w:val="20"/>
        </w:rPr>
        <w:t xml:space="preserve">“. 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U ostatních rolí není možnost „</w:t>
      </w:r>
      <w:r w:rsidRPr="00095EAA">
        <w:rPr>
          <w:rFonts w:ascii="Arial" w:hAnsi="Arial" w:cs="Arial"/>
          <w:i/>
          <w:sz w:val="20"/>
          <w:szCs w:val="20"/>
        </w:rPr>
        <w:t xml:space="preserve">ISO 10006 Project </w:t>
      </w:r>
      <w:proofErr w:type="spellStart"/>
      <w:r w:rsidRPr="00095EAA">
        <w:rPr>
          <w:rFonts w:ascii="Arial" w:hAnsi="Arial" w:cs="Arial"/>
          <w:i/>
          <w:sz w:val="20"/>
          <w:szCs w:val="20"/>
        </w:rPr>
        <w:t>Manager</w:t>
      </w:r>
      <w:proofErr w:type="spellEnd"/>
      <w:r w:rsidRPr="00095EAA">
        <w:rPr>
          <w:rFonts w:ascii="Arial" w:hAnsi="Arial" w:cs="Arial"/>
          <w:sz w:val="20"/>
          <w:szCs w:val="20"/>
        </w:rPr>
        <w:t>“ uvedena.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Uchazeč předpokládá, že jde o nedopatření a tato certifikace je přípustná i pro další role, kde je požadován „</w:t>
      </w:r>
      <w:r w:rsidRPr="00095EAA">
        <w:rPr>
          <w:rFonts w:ascii="Arial" w:hAnsi="Arial" w:cs="Arial"/>
          <w:i/>
          <w:sz w:val="20"/>
          <w:szCs w:val="20"/>
        </w:rPr>
        <w:t>platný mezinárodně uznávaný certifikát pro projektový management”</w:t>
      </w:r>
      <w:r w:rsidRPr="00095EAA">
        <w:rPr>
          <w:rFonts w:ascii="Arial" w:hAnsi="Arial" w:cs="Arial"/>
          <w:sz w:val="20"/>
          <w:szCs w:val="20"/>
        </w:rPr>
        <w:t>.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Prosíme Zadavatele o potvrzení správnosti tohoto předpokladu.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5F5400" w:rsidRPr="00095EAA" w:rsidRDefault="005F5400" w:rsidP="005F54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i/>
          <w:sz w:val="20"/>
          <w:szCs w:val="20"/>
        </w:rPr>
        <w:t xml:space="preserve">Zadavatel uvádí, že </w:t>
      </w:r>
      <w:r w:rsidRPr="00095EAA">
        <w:rPr>
          <w:rFonts w:ascii="Arial" w:hAnsi="Arial" w:cs="Arial"/>
          <w:i/>
          <w:sz w:val="20"/>
          <w:szCs w:val="20"/>
          <w:lang w:eastAsia="en-US" w:bidi="en-US"/>
        </w:rPr>
        <w:t xml:space="preserve">u ostatních rolí sice </w:t>
      </w:r>
      <w:r w:rsidRPr="00095EAA">
        <w:rPr>
          <w:rFonts w:ascii="Arial" w:hAnsi="Arial" w:cs="Arial"/>
          <w:i/>
          <w:sz w:val="20"/>
          <w:szCs w:val="20"/>
        </w:rPr>
        <w:t xml:space="preserve">v bodě 5 Kvalifikační dokumentace není výslovně uvedeno, že zadavatel </w:t>
      </w:r>
      <w:r w:rsidR="00244BD1" w:rsidRPr="00095EAA">
        <w:rPr>
          <w:rFonts w:ascii="Arial" w:hAnsi="Arial" w:cs="Arial"/>
          <w:i/>
          <w:sz w:val="20"/>
          <w:szCs w:val="20"/>
        </w:rPr>
        <w:t xml:space="preserve">připouští i použití certifikátu „ISO 10006 Project </w:t>
      </w:r>
      <w:proofErr w:type="spellStart"/>
      <w:r w:rsidR="00244BD1" w:rsidRPr="00095EAA">
        <w:rPr>
          <w:rFonts w:ascii="Arial" w:hAnsi="Arial" w:cs="Arial"/>
          <w:i/>
          <w:sz w:val="20"/>
          <w:szCs w:val="20"/>
        </w:rPr>
        <w:t>Manager</w:t>
      </w:r>
      <w:proofErr w:type="spellEnd"/>
      <w:r w:rsidR="00244BD1" w:rsidRPr="00095EAA">
        <w:rPr>
          <w:rFonts w:ascii="Arial" w:hAnsi="Arial" w:cs="Arial"/>
          <w:i/>
          <w:sz w:val="20"/>
          <w:szCs w:val="20"/>
        </w:rPr>
        <w:t>“, nicméně z textace v rámci role 2 a role 3 plyne, že tento certifikát zadavatel považuje za obdobný</w:t>
      </w:r>
      <w:r w:rsidR="00DB352B" w:rsidRPr="00095EAA">
        <w:rPr>
          <w:rFonts w:ascii="Arial" w:hAnsi="Arial" w:cs="Arial"/>
          <w:i/>
          <w:sz w:val="20"/>
          <w:szCs w:val="20"/>
        </w:rPr>
        <w:t xml:space="preserve"> ostatním tam uvedeným certifikátům. Zadavatel nicméně upozorňuje, že relevantní posouzení, zda předložení certifikátu „ISO 10006 Project </w:t>
      </w:r>
      <w:proofErr w:type="spellStart"/>
      <w:r w:rsidR="00DB352B" w:rsidRPr="00095EAA">
        <w:rPr>
          <w:rFonts w:ascii="Arial" w:hAnsi="Arial" w:cs="Arial"/>
          <w:i/>
          <w:sz w:val="20"/>
          <w:szCs w:val="20"/>
        </w:rPr>
        <w:t>Manager</w:t>
      </w:r>
      <w:proofErr w:type="spellEnd"/>
      <w:r w:rsidR="00DB352B" w:rsidRPr="00095EAA">
        <w:rPr>
          <w:rFonts w:ascii="Arial" w:hAnsi="Arial" w:cs="Arial"/>
          <w:i/>
          <w:sz w:val="20"/>
          <w:szCs w:val="20"/>
        </w:rPr>
        <w:t xml:space="preserve">“ u ostatních rolí, kde není výslovně uveden, splňuje požadavek na předložení obdobného certifikátu certifikátům pro projektový management v úrovni alespoň IPMA-B nebo PMI-PMP nebo PRINCE2 </w:t>
      </w:r>
      <w:proofErr w:type="spellStart"/>
      <w:r w:rsidR="00DB352B" w:rsidRPr="00095EAA">
        <w:rPr>
          <w:rFonts w:ascii="Arial" w:hAnsi="Arial" w:cs="Arial"/>
          <w:i/>
          <w:sz w:val="20"/>
          <w:szCs w:val="20"/>
        </w:rPr>
        <w:t>Practitioner</w:t>
      </w:r>
      <w:proofErr w:type="spellEnd"/>
      <w:r w:rsidR="00DB352B" w:rsidRPr="00095EAA">
        <w:rPr>
          <w:rFonts w:ascii="Arial" w:hAnsi="Arial" w:cs="Arial"/>
          <w:i/>
          <w:sz w:val="20"/>
          <w:szCs w:val="20"/>
        </w:rPr>
        <w:t>, přísluší pouze hodnotící komisi, která bude k tomuto účelu ustavena.</w:t>
      </w:r>
    </w:p>
    <w:p w:rsidR="005F5400" w:rsidRPr="00095EAA" w:rsidRDefault="005F5400" w:rsidP="00FF11EF">
      <w:pPr>
        <w:spacing w:before="120"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4</w:t>
      </w:r>
      <w:r w:rsidRPr="00095EAA">
        <w:rPr>
          <w:rFonts w:ascii="Arial" w:hAnsi="Arial" w:cs="Arial"/>
          <w:sz w:val="20"/>
          <w:szCs w:val="20"/>
        </w:rPr>
        <w:t>: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 xml:space="preserve">Zadavatel v Zadávací dokumentaci, příloha </w:t>
      </w:r>
      <w:proofErr w:type="gramStart"/>
      <w:r w:rsidRPr="00095EAA">
        <w:rPr>
          <w:rFonts w:ascii="Arial" w:hAnsi="Arial" w:cs="Arial"/>
          <w:color w:val="000000"/>
          <w:sz w:val="20"/>
          <w:szCs w:val="20"/>
        </w:rPr>
        <w:t>č.1 „Kvalifikační</w:t>
      </w:r>
      <w:proofErr w:type="gramEnd"/>
      <w:r w:rsidRPr="00095EAA">
        <w:rPr>
          <w:rFonts w:ascii="Arial" w:hAnsi="Arial" w:cs="Arial"/>
          <w:color w:val="000000"/>
          <w:sz w:val="20"/>
          <w:szCs w:val="20"/>
        </w:rPr>
        <w:t xml:space="preserve"> dokumentace“, kap.5 uvádí v rámci definice referenční služby:</w:t>
      </w:r>
    </w:p>
    <w:p w:rsidR="00FF11EF" w:rsidRPr="00095EAA" w:rsidRDefault="00FF11EF" w:rsidP="00FF11EF">
      <w:pPr>
        <w:numPr>
          <w:ilvl w:val="1"/>
          <w:numId w:val="36"/>
        </w:numPr>
        <w:spacing w:before="120" w:line="280" w:lineRule="atLeas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095EAA">
        <w:rPr>
          <w:rFonts w:ascii="Arial" w:hAnsi="Arial" w:cs="Arial"/>
          <w:i/>
          <w:color w:val="000000"/>
          <w:sz w:val="20"/>
          <w:szCs w:val="20"/>
        </w:rPr>
        <w:t>“Pro vyloučení pochybností zadavatel uvádí, že za realizaci referenční služby považuje takovou nezávislou službu, která byla realizována subjektem odlišným a majetkové nepropojeným s vlastním dodavatelem daného ICT projektu (ICT řešení).”</w:t>
      </w:r>
    </w:p>
    <w:p w:rsidR="00FF11EF" w:rsidRPr="00095EAA" w:rsidRDefault="00FF11EF" w:rsidP="00FF11EF">
      <w:pPr>
        <w:pStyle w:val="Odstavecseseznamem"/>
        <w:numPr>
          <w:ilvl w:val="1"/>
          <w:numId w:val="36"/>
        </w:numPr>
        <w:spacing w:before="120" w:line="280" w:lineRule="atLeast"/>
        <w:contextualSpacing w:val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095EAA">
        <w:rPr>
          <w:rFonts w:ascii="Arial" w:hAnsi="Arial" w:cs="Arial"/>
          <w:i/>
          <w:color w:val="000000"/>
          <w:sz w:val="20"/>
          <w:szCs w:val="20"/>
        </w:rPr>
        <w:t>„Pro vyloučení pochybností zadavatel uvádí, že do finančního plnění referenčních služeb se nezapočítává cena dodávek HW ani cena vývoje SW a finanční plnění tak může zahrnovat pouze cenu za služby řízení ICT projektů.“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>Uchazeč se domnívá, tyto dva požadavky se vzájemně vylučují:</w:t>
      </w:r>
    </w:p>
    <w:p w:rsidR="00FF11EF" w:rsidRPr="00095EAA" w:rsidRDefault="00FF11EF" w:rsidP="00FF11EF">
      <w:pPr>
        <w:numPr>
          <w:ilvl w:val="0"/>
          <w:numId w:val="38"/>
        </w:num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>Bod I. je požadavkem na „nezávislou službu“, tedy službu oddělenou od samotného projektu dodávky ICT řešení</w:t>
      </w:r>
    </w:p>
    <w:p w:rsidR="00FF11EF" w:rsidRPr="00095EAA" w:rsidRDefault="00FF11EF" w:rsidP="00FF11EF">
      <w:pPr>
        <w:numPr>
          <w:ilvl w:val="0"/>
          <w:numId w:val="38"/>
        </w:num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>Bod II. definuje referenční službu jako komplexní projekt včetně dodávek HW a SW s tím, že do objemu referenční služby nesmí být započítány cena dodávek HW ani cena vývoje SW a finanční plnění tak může zahrnovat pouze cenu za služby řízení ICT projektů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color w:val="000000"/>
          <w:sz w:val="20"/>
          <w:szCs w:val="20"/>
        </w:rPr>
        <w:t>Rozumí Uchazeč správně požadavkům Zadavatele v tom smyslu, že referenční služba může být v souladu s bodem I. nebo v souladu s bodem II.?</w:t>
      </w:r>
    </w:p>
    <w:p w:rsidR="0024630B" w:rsidRDefault="0024630B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24630B" w:rsidRDefault="0024630B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AF61DE" w:rsidRPr="00095EAA" w:rsidRDefault="00AF61DE" w:rsidP="00AF61DE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95EAA">
        <w:rPr>
          <w:rFonts w:ascii="Arial" w:hAnsi="Arial" w:cs="Arial"/>
          <w:i/>
          <w:sz w:val="20"/>
          <w:szCs w:val="20"/>
        </w:rPr>
        <w:t xml:space="preserve">Zadavatel uvádí, že uvedené body se nikterak vzájemně nevylučují a uchazeč musí respektovat oba tyto požadavky. Platí, že v rámci prokázání tohoto kvalifikačního požadavku může předložit pouze takovou referenční službu, která spočívala v řízení ICT projektů, které pro zadavatele dodával jiný dodavatel a uchazeč prokazující kvalifikaci takový ICT projekt pouze projektově odřídil. Pokud by </w:t>
      </w:r>
      <w:r w:rsidR="00B758CF" w:rsidRPr="00095EAA">
        <w:rPr>
          <w:rFonts w:ascii="Arial" w:hAnsi="Arial" w:cs="Arial"/>
          <w:i/>
          <w:sz w:val="20"/>
          <w:szCs w:val="20"/>
        </w:rPr>
        <w:t xml:space="preserve">nicméně </w:t>
      </w:r>
      <w:r w:rsidRPr="00095EAA">
        <w:rPr>
          <w:rFonts w:ascii="Arial" w:hAnsi="Arial" w:cs="Arial"/>
          <w:i/>
          <w:sz w:val="20"/>
          <w:szCs w:val="20"/>
        </w:rPr>
        <w:t>taková</w:t>
      </w:r>
      <w:r w:rsidR="00B758CF" w:rsidRPr="00095EAA">
        <w:rPr>
          <w:rFonts w:ascii="Arial" w:hAnsi="Arial" w:cs="Arial"/>
          <w:i/>
          <w:sz w:val="20"/>
          <w:szCs w:val="20"/>
        </w:rPr>
        <w:t xml:space="preserve"> referenční služba obsahovala i dodávku HW a vývoj SW, pak není ve smyslu druhého z uvedených požadavků zadavatele možné cenu takových dodávek HW a cenu takového vývoje SW započítat do hodnoty finančního limitu referenční služby.</w:t>
      </w:r>
    </w:p>
    <w:p w:rsidR="00AF61DE" w:rsidRPr="00095EAA" w:rsidRDefault="00AF61DE" w:rsidP="00EF55FB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5</w:t>
      </w:r>
      <w:r w:rsidRPr="00095EAA">
        <w:rPr>
          <w:rFonts w:ascii="Arial" w:hAnsi="Arial" w:cs="Arial"/>
          <w:sz w:val="20"/>
          <w:szCs w:val="20"/>
        </w:rPr>
        <w:t>: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 xml:space="preserve">V Příloze </w:t>
      </w:r>
      <w:proofErr w:type="gramStart"/>
      <w:r w:rsidRPr="00095EAA">
        <w:rPr>
          <w:rFonts w:ascii="Arial" w:hAnsi="Arial" w:cs="Arial"/>
          <w:sz w:val="20"/>
          <w:szCs w:val="20"/>
        </w:rPr>
        <w:t>č.2 Smlouvy</w:t>
      </w:r>
      <w:proofErr w:type="gramEnd"/>
      <w:r w:rsidRPr="00095EAA">
        <w:rPr>
          <w:rFonts w:ascii="Arial" w:hAnsi="Arial" w:cs="Arial"/>
          <w:sz w:val="20"/>
          <w:szCs w:val="20"/>
        </w:rPr>
        <w:t xml:space="preserve"> „Metodika PM“ jsou vložené dokumenty. Ty jsou ale nedostupné, protože metodika je ve formátu </w:t>
      </w:r>
      <w:proofErr w:type="spellStart"/>
      <w:r w:rsidRPr="00095EAA">
        <w:rPr>
          <w:rFonts w:ascii="Arial" w:hAnsi="Arial" w:cs="Arial"/>
          <w:sz w:val="20"/>
          <w:szCs w:val="20"/>
        </w:rPr>
        <w:t>pdf</w:t>
      </w:r>
      <w:proofErr w:type="spellEnd"/>
      <w:r w:rsidRPr="00095EAA">
        <w:rPr>
          <w:rFonts w:ascii="Arial" w:hAnsi="Arial" w:cs="Arial"/>
          <w:sz w:val="20"/>
          <w:szCs w:val="20"/>
        </w:rPr>
        <w:t>.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 xml:space="preserve">Může Zadavatel zveřejnit i tyto vložené dokumenty? </w:t>
      </w:r>
    </w:p>
    <w:p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F11EF" w:rsidRPr="00095EAA" w:rsidRDefault="00EF55FB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 w:rsidRPr="00095EAA">
        <w:rPr>
          <w:rFonts w:ascii="Arial" w:hAnsi="Arial" w:cs="Arial"/>
          <w:i/>
          <w:sz w:val="20"/>
          <w:szCs w:val="20"/>
          <w:lang w:eastAsia="en-US" w:bidi="en-US"/>
        </w:rPr>
        <w:t xml:space="preserve">Uvedené dokumenty budou poskytnuty </w:t>
      </w:r>
      <w:r w:rsidR="00F92C1A" w:rsidRPr="00095EAA">
        <w:rPr>
          <w:rFonts w:ascii="Arial" w:hAnsi="Arial" w:cs="Arial"/>
          <w:i/>
          <w:sz w:val="20"/>
          <w:szCs w:val="20"/>
          <w:lang w:eastAsia="en-US" w:bidi="en-US"/>
        </w:rPr>
        <w:t xml:space="preserve">v aktuální platné verzi </w:t>
      </w:r>
      <w:r w:rsidRPr="00095EAA">
        <w:rPr>
          <w:rFonts w:ascii="Arial" w:hAnsi="Arial" w:cs="Arial"/>
          <w:i/>
          <w:sz w:val="20"/>
          <w:szCs w:val="20"/>
          <w:lang w:eastAsia="en-US" w:bidi="en-US"/>
        </w:rPr>
        <w:t>vítězné</w:t>
      </w:r>
      <w:r w:rsidR="00F92C1A" w:rsidRPr="00095EAA">
        <w:rPr>
          <w:rFonts w:ascii="Arial" w:hAnsi="Arial" w:cs="Arial"/>
          <w:i/>
          <w:sz w:val="20"/>
          <w:szCs w:val="20"/>
          <w:lang w:eastAsia="en-US" w:bidi="en-US"/>
        </w:rPr>
        <w:t>mu uchazeči při podpisu smlouvy.</w:t>
      </w:r>
    </w:p>
    <w:p w:rsidR="00EF55FB" w:rsidRPr="00095EAA" w:rsidRDefault="00EF55FB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255B63" w:rsidRDefault="00255B63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Zadavatel oznamuje, že vzhledem k povaze dotazu a odpovědi zadavatele, kterou se nemění zadávací podmínky, se lhůta pro podání nabídek v souvislosti s poskytnutím těchto dodatečných informací č. 2 neprodlužuje.</w:t>
      </w:r>
    </w:p>
    <w:p w:rsidR="00044A47" w:rsidRPr="00FF11EF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262849" w:rsidRDefault="00044A47" w:rsidP="00F92C1A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F11EF">
        <w:rPr>
          <w:rFonts w:ascii="Arial" w:hAnsi="Arial" w:cs="Arial"/>
          <w:sz w:val="20"/>
          <w:szCs w:val="20"/>
        </w:rPr>
        <w:t xml:space="preserve">V Praze dne </w:t>
      </w:r>
      <w:r w:rsidR="00FF11EF" w:rsidRPr="00FF11EF">
        <w:rPr>
          <w:rFonts w:ascii="Arial" w:hAnsi="Arial" w:cs="Arial"/>
          <w:sz w:val="20"/>
          <w:szCs w:val="20"/>
          <w:lang w:eastAsia="en-US" w:bidi="en-US"/>
        </w:rPr>
        <w:t>2</w:t>
      </w:r>
      <w:r w:rsidR="00B6194D">
        <w:rPr>
          <w:rFonts w:ascii="Arial" w:hAnsi="Arial" w:cs="Arial"/>
          <w:sz w:val="20"/>
          <w:szCs w:val="20"/>
          <w:lang w:eastAsia="en-US" w:bidi="en-US"/>
        </w:rPr>
        <w:t>5</w:t>
      </w:r>
      <w:bookmarkStart w:id="0" w:name="_GoBack"/>
      <w:bookmarkEnd w:id="0"/>
      <w:r w:rsidR="009148D1" w:rsidRPr="00FF11EF">
        <w:rPr>
          <w:rFonts w:ascii="Arial" w:hAnsi="Arial" w:cs="Arial"/>
          <w:sz w:val="20"/>
          <w:szCs w:val="20"/>
          <w:lang w:eastAsia="en-US" w:bidi="en-US"/>
        </w:rPr>
        <w:t>. 7. 2016</w:t>
      </w: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EA3" w:rsidRDefault="001C1EA3">
      <w:r>
        <w:separator/>
      </w:r>
    </w:p>
  </w:endnote>
  <w:endnote w:type="continuationSeparator" w:id="0">
    <w:p w:rsidR="001C1EA3" w:rsidRDefault="001C1EA3">
      <w:r>
        <w:continuationSeparator/>
      </w:r>
    </w:p>
  </w:endnote>
  <w:endnote w:type="continuationNotice" w:id="1">
    <w:p w:rsidR="001C1EA3" w:rsidRDefault="001C1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53EF1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53EF1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EA3" w:rsidRDefault="001C1EA3">
      <w:r>
        <w:separator/>
      </w:r>
    </w:p>
  </w:footnote>
  <w:footnote w:type="continuationSeparator" w:id="0">
    <w:p w:rsidR="001C1EA3" w:rsidRDefault="001C1EA3">
      <w:r>
        <w:continuationSeparator/>
      </w:r>
    </w:p>
  </w:footnote>
  <w:footnote w:type="continuationNotice" w:id="1">
    <w:p w:rsidR="001C1EA3" w:rsidRDefault="001C1E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626BFB"/>
    <w:multiLevelType w:val="hybridMultilevel"/>
    <w:tmpl w:val="8A34804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6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DD48B9"/>
    <w:multiLevelType w:val="hybridMultilevel"/>
    <w:tmpl w:val="C6343F2C"/>
    <w:lvl w:ilvl="0" w:tplc="1AFEC0E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3">
      <w:start w:val="1"/>
      <w:numFmt w:val="upperRoman"/>
      <w:lvlText w:val="%2."/>
      <w:lvlJc w:val="right"/>
      <w:pPr>
        <w:ind w:left="108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DD212D"/>
    <w:multiLevelType w:val="hybridMultilevel"/>
    <w:tmpl w:val="08D092C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6"/>
  </w:num>
  <w:num w:numId="4">
    <w:abstractNumId w:val="13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3"/>
  </w:num>
  <w:num w:numId="11">
    <w:abstractNumId w:val="5"/>
  </w:num>
  <w:num w:numId="12">
    <w:abstractNumId w:val="12"/>
  </w:num>
  <w:num w:numId="13">
    <w:abstractNumId w:val="17"/>
  </w:num>
  <w:num w:numId="14">
    <w:abstractNumId w:val="32"/>
  </w:num>
  <w:num w:numId="15">
    <w:abstractNumId w:val="30"/>
  </w:num>
  <w:num w:numId="16">
    <w:abstractNumId w:val="22"/>
  </w:num>
  <w:num w:numId="17">
    <w:abstractNumId w:val="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3"/>
  </w:num>
  <w:num w:numId="21">
    <w:abstractNumId w:val="15"/>
  </w:num>
  <w:num w:numId="22">
    <w:abstractNumId w:val="19"/>
  </w:num>
  <w:num w:numId="23">
    <w:abstractNumId w:val="34"/>
  </w:num>
  <w:num w:numId="24">
    <w:abstractNumId w:val="9"/>
  </w:num>
  <w:num w:numId="25">
    <w:abstractNumId w:val="8"/>
  </w:num>
  <w:num w:numId="26">
    <w:abstractNumId w:val="25"/>
  </w:num>
  <w:num w:numId="27">
    <w:abstractNumId w:val="29"/>
  </w:num>
  <w:num w:numId="28">
    <w:abstractNumId w:val="4"/>
  </w:num>
  <w:num w:numId="29">
    <w:abstractNumId w:val="6"/>
  </w:num>
  <w:num w:numId="30">
    <w:abstractNumId w:val="21"/>
  </w:num>
  <w:num w:numId="31">
    <w:abstractNumId w:val="31"/>
  </w:num>
  <w:num w:numId="32">
    <w:abstractNumId w:val="7"/>
  </w:num>
  <w:num w:numId="33">
    <w:abstractNumId w:val="26"/>
  </w:num>
  <w:num w:numId="34">
    <w:abstractNumId w:val="24"/>
  </w:num>
  <w:num w:numId="35">
    <w:abstractNumId w:val="14"/>
  </w:num>
  <w:num w:numId="36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35"/>
  </w:num>
  <w:num w:numId="3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95EAA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50A2"/>
    <w:rsid w:val="00125A2A"/>
    <w:rsid w:val="001329F3"/>
    <w:rsid w:val="00133748"/>
    <w:rsid w:val="0014170D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AF4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6D0F"/>
    <w:rsid w:val="003D75D2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4B69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194D"/>
    <w:rsid w:val="00B623F0"/>
    <w:rsid w:val="00B632D0"/>
    <w:rsid w:val="00B66768"/>
    <w:rsid w:val="00B70168"/>
    <w:rsid w:val="00B7286F"/>
    <w:rsid w:val="00B73D22"/>
    <w:rsid w:val="00B73F65"/>
    <w:rsid w:val="00B754E7"/>
    <w:rsid w:val="00B758CF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2C1A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SF6ICh942lPw2THz4Cf1Yd+8p6Y=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NqCyofHsv69siZ7f7WrjUO0Yf6U=</DigestValue>
    </Reference>
  </SignedInfo>
  <SignatureValue>g6bHmGDIZG7mglTVIk+T6/HHvBNO+HwtNf2DJQONK0c2BNGJ7KeKWLaa75prnlu8kV1pDqgNUcYQ
ZegW37o3B8FcFGgDrM/z0j1NtIxWM3ipaaHNmSyOzBZ+8DEn/pG2BdjQPeC8thgCcNysK0yd7rt8
m7P51q1WXFwjZPpGyDbClYH7ZOMFY+cHOq4WD+3R6/oUWf3cvxxdxGuuZpNRBYPj3FCCORX0iFek
Fe5kmf9DovhYAmICkRC/+V+YOiksCgqmWEdPYSCymen7ChppGMsYdJcD7oHK0cdC8mx0SGI7VStR
TCRVzrE05u46TkmVf748jrDKhTMC1ZNbCYtX4w==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A8UcTWFUbygnGm5avfSjTV6g83s=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fy4KYCV5q9EIXmjbLNJkuGcI4xM=</DigestValue>
      </Reference>
      <Reference URI="/word/webSettings.xml?ContentType=application/vnd.openxmlformats-officedocument.wordprocessingml.webSettings+xml">
        <DigestMethod Algorithm="http://www.w3.org/2000/09/xmldsig#sha1"/>
        <DigestValue>KbmDk7c9fhvAGuVr8Tnk3Vkn86o=</DigestValue>
      </Reference>
      <Reference URI="/word/numbering.xml?ContentType=application/vnd.openxmlformats-officedocument.wordprocessingml.numbering+xml">
        <DigestMethod Algorithm="http://www.w3.org/2000/09/xmldsig#sha1"/>
        <DigestValue>GM98CIEd7JyC5jgj2XE2aHgv9C4=</DigestValue>
      </Reference>
      <Reference URI="/word/styles.xml?ContentType=application/vnd.openxmlformats-officedocument.wordprocessingml.styles+xml">
        <DigestMethod Algorithm="http://www.w3.org/2000/09/xmldsig#sha1"/>
        <DigestValue>/1J49cTd4vBRl5iuxV9zbQY+AyY=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b8KuQ7xkHOOgnKUTjjuaY8xQaS4=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yxj4Kaq4EjjHgnQebB7y8qnFBxI=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AgNbhpYPHpFz/ZtsR2Q6a5ATbrs=</DigestValue>
      </Reference>
      <Reference URI="/word/footer1.xml?ContentType=application/vnd.openxmlformats-officedocument.wordprocessingml.footer+xml">
        <DigestMethod Algorithm="http://www.w3.org/2000/09/xmldsig#sha1"/>
        <DigestValue>T09zd7diWLilFXEGCzbchJcZNgA=</DigestValue>
      </Reference>
      <Reference URI="/word/footnotes.xml?ContentType=application/vnd.openxmlformats-officedocument.wordprocessingml.footnotes+xml">
        <DigestMethod Algorithm="http://www.w3.org/2000/09/xmldsig#sha1"/>
        <DigestValue>mz0oLyXGu2cHPDTDMyFXrgbbicI=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2016-07-25T08:31:18Z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2016-07-25T08:31:18Z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purl.org/dc/dcmitype/"/>
    <ds:schemaRef ds:uri="http://purl.org/dc/elements/1.1/"/>
    <ds:schemaRef ds:uri="5e6c6c5c-474c-4ef7-b7d6-59a0e77cc256"/>
    <ds:schemaRef ds:uri="4085a4f5-5f40-4143-b221-75ee5dde648a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662c659-72ab-411b-b755-fbef5cbbde1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DE3BD4-30EA-443E-94C9-09052DFDA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1013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7328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2016-07-25T08:29:00Z</cp:lastPrinted>
  <dcterms:created xsi:type="dcterms:W3CDTF">2016-07-25T07:28:00Z</dcterms:created>
  <dcterms:modified xsi:type="dcterms:W3CDTF">2016-07-25T08:30:00Z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