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A71" w:rsidRPr="00B72B68" w:rsidRDefault="00E42A71" w:rsidP="00E42A71">
      <w:pPr>
        <w:pStyle w:val="Zkladntext"/>
        <w:pBdr>
          <w:top w:val="single" w:sz="2" w:space="1" w:color="auto"/>
          <w:left w:val="single" w:sz="2" w:space="2" w:color="auto"/>
          <w:bottom w:val="single" w:sz="2" w:space="1" w:color="auto"/>
          <w:right w:val="single" w:sz="2" w:space="4" w:color="auto"/>
        </w:pBdr>
        <w:shd w:val="clear" w:color="auto" w:fill="000080"/>
        <w:spacing w:after="120" w:line="360" w:lineRule="auto"/>
        <w:jc w:val="center"/>
        <w:rPr>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B72B68">
        <w:rPr>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Odůvodnění veřejné zakázky</w:t>
      </w:r>
    </w:p>
    <w:p w:rsidR="00E42A71" w:rsidRPr="00B72B68" w:rsidRDefault="00E42A71" w:rsidP="00E42A71">
      <w:pPr>
        <w:pStyle w:val="Normlnweb"/>
        <w:spacing w:before="0" w:beforeAutospacing="0" w:after="120" w:afterAutospacing="0"/>
        <w:jc w:val="both"/>
        <w:rPr>
          <w:color w:val="000000"/>
        </w:rPr>
      </w:pPr>
    </w:p>
    <w:p w:rsidR="00E42A71" w:rsidRPr="00B72B68" w:rsidRDefault="00E42A71" w:rsidP="00E42A71">
      <w:pPr>
        <w:numPr>
          <w:ilvl w:val="0"/>
          <w:numId w:val="1"/>
        </w:numPr>
        <w:spacing w:after="120"/>
        <w:ind w:left="360" w:right="22"/>
        <w:jc w:val="both"/>
        <w:rPr>
          <w:rFonts w:eastAsia="MS Mincho"/>
          <w:b/>
          <w:bCs/>
        </w:rPr>
      </w:pPr>
      <w:r w:rsidRPr="00B72B68">
        <w:t xml:space="preserve">Odůvodnění </w:t>
      </w:r>
      <w:r w:rsidRPr="00B72B68">
        <w:rPr>
          <w:b/>
        </w:rPr>
        <w:t xml:space="preserve">účelnosti </w:t>
      </w:r>
      <w:r w:rsidRPr="00B72B68">
        <w:t>veřejné zakázky pro účely předběžného oznámení:</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5528"/>
      </w:tblGrid>
      <w:tr w:rsidR="00E42A71" w:rsidRPr="00B72B68" w:rsidTr="005151F7">
        <w:tc>
          <w:tcPr>
            <w:tcW w:w="9322" w:type="dxa"/>
            <w:gridSpan w:val="2"/>
          </w:tcPr>
          <w:p w:rsidR="00E42A71" w:rsidRPr="00B72B68" w:rsidRDefault="00E42A71" w:rsidP="005151F7">
            <w:pPr>
              <w:pStyle w:val="Odstavecseseznamem"/>
              <w:ind w:left="0"/>
              <w:jc w:val="center"/>
              <w:rPr>
                <w:b/>
              </w:rPr>
            </w:pPr>
            <w:r w:rsidRPr="00B72B68">
              <w:rPr>
                <w:b/>
              </w:rPr>
              <w:t>Odůvodnění účelnosti veřejné zakázky pro účely předběžného oznámení</w:t>
            </w:r>
          </w:p>
        </w:tc>
      </w:tr>
      <w:tr w:rsidR="00E42A71" w:rsidRPr="00B72B68" w:rsidTr="005151F7">
        <w:trPr>
          <w:trHeight w:val="1020"/>
        </w:trPr>
        <w:tc>
          <w:tcPr>
            <w:tcW w:w="3794" w:type="dxa"/>
          </w:tcPr>
          <w:p w:rsidR="00E42A71" w:rsidRPr="00B72B68" w:rsidRDefault="00E42A71" w:rsidP="005151F7">
            <w:pPr>
              <w:pStyle w:val="Odstavecseseznamem"/>
              <w:spacing w:before="60" w:after="60"/>
              <w:ind w:left="0"/>
              <w:jc w:val="both"/>
            </w:pPr>
            <w:r w:rsidRPr="00B72B68">
              <w:t>Popis potřeb, které mají být splněním veřejné zakázky naplněny.</w:t>
            </w:r>
          </w:p>
          <w:p w:rsidR="00E42A71" w:rsidRPr="00B72B68" w:rsidRDefault="00E42A71" w:rsidP="005151F7">
            <w:pPr>
              <w:pStyle w:val="Odstavecseseznamem"/>
              <w:spacing w:before="60" w:after="60"/>
              <w:ind w:left="0"/>
              <w:jc w:val="both"/>
              <w:rPr>
                <w:color w:val="FF0000"/>
              </w:rPr>
            </w:pPr>
          </w:p>
        </w:tc>
        <w:tc>
          <w:tcPr>
            <w:tcW w:w="5528" w:type="dxa"/>
          </w:tcPr>
          <w:p w:rsidR="00E42A71" w:rsidRPr="00B72B68" w:rsidRDefault="00E42A71" w:rsidP="005151F7">
            <w:pPr>
              <w:spacing w:before="60" w:after="60"/>
              <w:jc w:val="both"/>
            </w:pPr>
            <w:r w:rsidRPr="00B72B68">
              <w:t>Dle pravidel Evropské unie týkajících se informování a komunikace řídicích orgánů operačních programů financovaných z evropských strukturálních a investičních fondů (ESIF) vůči veřejnosti (Nařízení Evropského parlamentu a Rady (EU) č. 1303/2013) musí být zajištěny internetové stránky, které budou poskytovat informace o provádění, možnostech a přínosech každého operačního programu v rámci ESIF. Naplnění předmětu veřejné zakázky tak reaguje na pravidla Evropské unie s cílem zajistit pro Operační program Zaměstnanost (OPZ) inovovaný integrovaný portál na doméně esfcr.cz.</w:t>
            </w:r>
          </w:p>
          <w:p w:rsidR="00E42A71" w:rsidRPr="00B72B68" w:rsidRDefault="00E42A71" w:rsidP="005151F7">
            <w:pPr>
              <w:spacing w:before="60" w:after="60"/>
              <w:jc w:val="both"/>
            </w:pPr>
            <w:r w:rsidRPr="00B72B68">
              <w:t>Jakožto integrovaný portál bude tento komunikační nástroj sloužit řídicímu orgánu OPZ mj. k on-line evidenci interních dat (interní databáze, průzkumy apod.) a bude těsně svázán s informačním systémem OPZ (IS ESF 2014+) pro monitoring efektivnosti podpor jednotlivým osobám z Evropského sociálního fondu (ESF). IS ESF 2014+ bude zajištěn v rámci probíhající veřejné zakázky „Vytvoření, provoz a rozvoj informačního systému pro zajištění monitoringu a vyhodnocování projektů ESF (IS ESF 2014+) a zajištění služeb společného technologického rámce (</w:t>
            </w:r>
            <w:proofErr w:type="spellStart"/>
            <w:r w:rsidRPr="00B72B68">
              <w:t>frameworku</w:t>
            </w:r>
            <w:proofErr w:type="spellEnd"/>
            <w:r w:rsidRPr="00B72B68">
              <w:t xml:space="preserve">) pro webové aplikace zadavatele“ (zakázka </w:t>
            </w:r>
            <w:proofErr w:type="gramStart"/>
            <w:r w:rsidRPr="00B72B68">
              <w:t>na</w:t>
            </w:r>
            <w:proofErr w:type="gramEnd"/>
            <w:r w:rsidRPr="00B72B68">
              <w:t xml:space="preserve"> IS ESF 2014+). Uživatelé portálu (žadatelé o podporu, příjemci podpory, implementační subjekty apod.) pak budou v rámci portálu rovněž publikovat povinně zveřejňované informace týkající se jejich projektů/realizovaných aktivit, vyhlašovaných zakázek apod.</w:t>
            </w:r>
          </w:p>
          <w:p w:rsidR="00E42A71" w:rsidRPr="00B72B68" w:rsidRDefault="00E42A71" w:rsidP="005151F7">
            <w:pPr>
              <w:pStyle w:val="Odstavecseseznamem"/>
              <w:spacing w:before="60" w:after="60"/>
              <w:ind w:left="0"/>
              <w:jc w:val="both"/>
            </w:pPr>
            <w:r w:rsidRPr="00B72B68">
              <w:t>Zveřejňování informací o OPZ rovněž významně přispívá k zajištění transparentnosti v oblasti podpor z ESIF. Uživatelé z řad veřejnosti jsou již z minulých programových období (2004 – 2006, 2007 – 2013) masově zvyklí na využívání domény esfcr.cz, kde očekávají publikaci aktuálních informací rovněž v programovém období 2014 – 2020.</w:t>
            </w:r>
          </w:p>
        </w:tc>
      </w:tr>
      <w:tr w:rsidR="00E42A71" w:rsidRPr="00B72B68" w:rsidTr="005151F7">
        <w:trPr>
          <w:trHeight w:val="1020"/>
        </w:trPr>
        <w:tc>
          <w:tcPr>
            <w:tcW w:w="3794" w:type="dxa"/>
          </w:tcPr>
          <w:p w:rsidR="00E42A71" w:rsidRPr="00B72B68" w:rsidDel="00220BCF" w:rsidRDefault="00E42A71" w:rsidP="005151F7">
            <w:pPr>
              <w:pStyle w:val="Odstavecseseznamem"/>
              <w:spacing w:before="60" w:after="60"/>
              <w:ind w:left="0"/>
              <w:jc w:val="both"/>
            </w:pPr>
            <w:r w:rsidRPr="00B72B68">
              <w:lastRenderedPageBreak/>
              <w:t>Popis předmětu veřejné zakázky</w:t>
            </w:r>
          </w:p>
        </w:tc>
        <w:tc>
          <w:tcPr>
            <w:tcW w:w="5528" w:type="dxa"/>
          </w:tcPr>
          <w:p w:rsidR="00E42A71" w:rsidRPr="00B72B68" w:rsidRDefault="00E42A71" w:rsidP="005151F7">
            <w:pPr>
              <w:pStyle w:val="Odstavecseseznamem"/>
              <w:spacing w:before="60" w:after="60"/>
              <w:ind w:left="0"/>
              <w:jc w:val="both"/>
            </w:pPr>
            <w:r w:rsidRPr="00B72B68">
              <w:t>Předmětem veřejné zakázky bude zajištění služeb realizačního týmu programátorů – vývojářů na tvorbu, provoz a vývoj nového internetového portálu pro potřeby operačních programů ESF řízených na úrovni MPSV. Tým bude zajišťovat nejprve tvorbu a modifikace nového portálu esfcr.cz včetně migrace dat ze stávajících webových aplikací a následně další provoz a rozvoj portálu dle aktuálních potřeb zadavatele.</w:t>
            </w:r>
          </w:p>
        </w:tc>
      </w:tr>
      <w:tr w:rsidR="00E42A71" w:rsidRPr="00B72B68" w:rsidTr="005151F7">
        <w:trPr>
          <w:trHeight w:val="1020"/>
        </w:trPr>
        <w:tc>
          <w:tcPr>
            <w:tcW w:w="3794" w:type="dxa"/>
          </w:tcPr>
          <w:p w:rsidR="00E42A71" w:rsidRPr="00B72B68" w:rsidRDefault="00E42A71" w:rsidP="005151F7">
            <w:pPr>
              <w:pStyle w:val="Odstavecseseznamem"/>
              <w:spacing w:before="60" w:after="60"/>
              <w:ind w:left="0"/>
              <w:jc w:val="both"/>
              <w:rPr>
                <w:color w:val="FF0000"/>
              </w:rPr>
            </w:pPr>
            <w:r w:rsidRPr="00B72B68">
              <w:t>Popis vzájemného vztahu předmětu veřejné zakázky a potřeb zadavatele.</w:t>
            </w:r>
          </w:p>
        </w:tc>
        <w:tc>
          <w:tcPr>
            <w:tcW w:w="5528" w:type="dxa"/>
          </w:tcPr>
          <w:p w:rsidR="00E42A71" w:rsidRPr="00B72B68" w:rsidRDefault="00E42A71" w:rsidP="005151F7">
            <w:pPr>
              <w:spacing w:before="60" w:after="60"/>
              <w:jc w:val="both"/>
            </w:pPr>
            <w:r w:rsidRPr="00B72B68">
              <w:t>Realizace veřejné zakázky přispěje ke splnění povinnosti řídicího orgánu poskytovat veřejnosti informace týkající se Operačního programu Zaměstnanost prostřednictvím internetových stránek.</w:t>
            </w:r>
          </w:p>
          <w:p w:rsidR="00E42A71" w:rsidRPr="00B72B68" w:rsidRDefault="00E42A71" w:rsidP="005151F7">
            <w:pPr>
              <w:pStyle w:val="Odstavecseseznamem"/>
              <w:spacing w:before="60" w:after="60"/>
              <w:ind w:left="0"/>
              <w:jc w:val="both"/>
              <w:rPr>
                <w:color w:val="FF0000"/>
              </w:rPr>
            </w:pPr>
            <w:r w:rsidRPr="00B72B68">
              <w:t xml:space="preserve">Aktuálně je různými dodavateli zajišťován provoz několika vzájemně neprovázaných aplikací sloužících potřebám operačních programů řízených MPSV (redakční systém pro web esfcr.cz, databáze produktů, fórum, databáze nesrovnalostí, nástroj pro průzkumy, řízení úkolů a </w:t>
            </w:r>
            <w:proofErr w:type="spellStart"/>
            <w:r w:rsidRPr="00B72B68">
              <w:t>workflow</w:t>
            </w:r>
            <w:proofErr w:type="spellEnd"/>
            <w:r w:rsidRPr="00B72B68">
              <w:t xml:space="preserve">). Pro období 2015+ je cílem provozovat veškerou podporu webových aplikací na novém, jednotném portálu. Jednotlivé aplikace i IS ESF 2014+ budou sdílet společný portálový </w:t>
            </w:r>
            <w:proofErr w:type="spellStart"/>
            <w:r w:rsidRPr="00B72B68">
              <w:t>framework</w:t>
            </w:r>
            <w:proofErr w:type="spellEnd"/>
            <w:r w:rsidRPr="00B72B68">
              <w:t xml:space="preserve">. Jednotné prostředí a společná pravidla a metodiky vývoje bude garantovat systémový integrátor, rovněž zajištěný veřejnou zakázkou </w:t>
            </w:r>
            <w:proofErr w:type="gramStart"/>
            <w:r w:rsidRPr="00B72B68">
              <w:t>na</w:t>
            </w:r>
            <w:proofErr w:type="gramEnd"/>
            <w:r w:rsidRPr="00B72B68">
              <w:t xml:space="preserve"> IS ESF 2014+.</w:t>
            </w:r>
          </w:p>
        </w:tc>
      </w:tr>
      <w:tr w:rsidR="00E42A71" w:rsidRPr="00B72B68" w:rsidTr="005151F7">
        <w:trPr>
          <w:trHeight w:val="586"/>
        </w:trPr>
        <w:tc>
          <w:tcPr>
            <w:tcW w:w="3794" w:type="dxa"/>
          </w:tcPr>
          <w:p w:rsidR="00E42A71" w:rsidRPr="00B72B68" w:rsidRDefault="00E42A71" w:rsidP="005151F7">
            <w:pPr>
              <w:pStyle w:val="Odstavecseseznamem"/>
              <w:spacing w:before="60" w:after="60"/>
              <w:ind w:left="0"/>
              <w:jc w:val="both"/>
            </w:pPr>
            <w:r w:rsidRPr="00B72B68">
              <w:t>Předpokládaný termín splnění veřejné zakázky</w:t>
            </w:r>
          </w:p>
        </w:tc>
        <w:tc>
          <w:tcPr>
            <w:tcW w:w="5528" w:type="dxa"/>
          </w:tcPr>
          <w:p w:rsidR="00E42A71" w:rsidRPr="00B72B68" w:rsidRDefault="00E42A71" w:rsidP="00A96ECB">
            <w:pPr>
              <w:pStyle w:val="Odstavecseseznamem"/>
              <w:spacing w:before="60" w:after="60"/>
              <w:ind w:left="0"/>
              <w:jc w:val="both"/>
              <w:rPr>
                <w:color w:val="FF0000"/>
              </w:rPr>
            </w:pPr>
            <w:r w:rsidRPr="00B72B68">
              <w:t xml:space="preserve">Zakázka by měla být dle stávajících předpokladů realizována od 1. 10. 2015 do 30. 11. 2023. Datum zahájení plnění veřejné zakázky může být posunut v návaznosti na to, kdy bude moci být podepsána smlouva s dodavatelem v související veřejné zakázce </w:t>
            </w:r>
            <w:proofErr w:type="gramStart"/>
            <w:r w:rsidRPr="00B72B68">
              <w:t>na</w:t>
            </w:r>
            <w:proofErr w:type="gramEnd"/>
            <w:r w:rsidRPr="00B72B68">
              <w:t xml:space="preserve"> IS ESF 2014+, jejímž cílem je mj. zajistit společný technologický rámec (</w:t>
            </w:r>
            <w:proofErr w:type="spellStart"/>
            <w:r w:rsidRPr="00B72B68">
              <w:t>framework</w:t>
            </w:r>
            <w:proofErr w:type="spellEnd"/>
            <w:r w:rsidRPr="00B72B68">
              <w:t>) pro integraci a další vývoj potřebných funkcionalit portálu.</w:t>
            </w:r>
          </w:p>
        </w:tc>
      </w:tr>
    </w:tbl>
    <w:p w:rsidR="00E42A71" w:rsidRPr="00B72B68" w:rsidRDefault="00E42A71" w:rsidP="00E42A71">
      <w:pPr>
        <w:spacing w:after="120"/>
        <w:ind w:left="360" w:right="22"/>
        <w:jc w:val="both"/>
        <w:rPr>
          <w:rFonts w:eastAsia="MS Mincho"/>
          <w:b/>
          <w:bCs/>
        </w:rPr>
      </w:pPr>
    </w:p>
    <w:p w:rsidR="00E42A71" w:rsidRPr="00B72B68" w:rsidRDefault="00E42A71" w:rsidP="00E42A71">
      <w:r w:rsidRPr="00B72B68">
        <w:br w:type="page"/>
      </w:r>
    </w:p>
    <w:p w:rsidR="00E42A71" w:rsidRPr="00B72B68" w:rsidRDefault="00E42A71" w:rsidP="00E42A71">
      <w:pPr>
        <w:numPr>
          <w:ilvl w:val="0"/>
          <w:numId w:val="1"/>
        </w:numPr>
        <w:spacing w:after="120"/>
        <w:ind w:left="360" w:right="22"/>
        <w:jc w:val="both"/>
        <w:rPr>
          <w:rFonts w:eastAsia="MS Mincho"/>
          <w:b/>
          <w:bCs/>
        </w:rPr>
      </w:pPr>
      <w:r w:rsidRPr="00B72B68">
        <w:lastRenderedPageBreak/>
        <w:t xml:space="preserve">Odůvodnění </w:t>
      </w:r>
      <w:r w:rsidRPr="00B72B68">
        <w:rPr>
          <w:b/>
        </w:rPr>
        <w:t xml:space="preserve">účelnosti </w:t>
      </w:r>
      <w:r w:rsidRPr="00B72B68">
        <w:t>veřejné zakázky při vyhlášení veřejné zakázky</w:t>
      </w:r>
      <w:r w:rsidRPr="00B72B68">
        <w:rPr>
          <w:rStyle w:val="Znakapoznpodarou"/>
        </w:rPr>
        <w:footnoteReference w:id="1"/>
      </w:r>
      <w:r w:rsidRPr="00B72B68">
        <w:t>:</w:t>
      </w:r>
    </w:p>
    <w:p w:rsidR="00E42A71" w:rsidRPr="00B72B68" w:rsidRDefault="00E42A71" w:rsidP="00E42A71">
      <w:pPr>
        <w:numPr>
          <w:ilvl w:val="1"/>
          <w:numId w:val="1"/>
        </w:numPr>
        <w:spacing w:after="120"/>
        <w:ind w:left="426" w:right="22" w:hanging="426"/>
        <w:jc w:val="both"/>
        <w:rPr>
          <w:rFonts w:eastAsia="MS Mincho"/>
          <w:bCs/>
        </w:rPr>
      </w:pPr>
      <w:r w:rsidRPr="00B72B68">
        <w:rPr>
          <w:rFonts w:eastAsia="MS Mincho"/>
          <w:bCs/>
        </w:rPr>
        <w:t>Účelnost veřejné zakázky</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5528"/>
      </w:tblGrid>
      <w:tr w:rsidR="00E42A71" w:rsidRPr="00B72B68" w:rsidTr="005151F7">
        <w:tc>
          <w:tcPr>
            <w:tcW w:w="9322" w:type="dxa"/>
            <w:gridSpan w:val="2"/>
          </w:tcPr>
          <w:p w:rsidR="00E42A71" w:rsidRPr="00B72B68" w:rsidRDefault="00E42A71" w:rsidP="005151F7">
            <w:pPr>
              <w:pStyle w:val="Odstavecseseznamem"/>
              <w:ind w:left="0"/>
              <w:jc w:val="center"/>
              <w:rPr>
                <w:b/>
              </w:rPr>
            </w:pPr>
            <w:r w:rsidRPr="00B72B68">
              <w:rPr>
                <w:b/>
              </w:rPr>
              <w:t>Odůvodnění účelnosti veřejné zakázky při vyhlášení veřejné zakázky:</w:t>
            </w:r>
          </w:p>
        </w:tc>
      </w:tr>
      <w:tr w:rsidR="00E42A71" w:rsidRPr="00B72B68" w:rsidTr="005151F7">
        <w:tc>
          <w:tcPr>
            <w:tcW w:w="3794" w:type="dxa"/>
          </w:tcPr>
          <w:p w:rsidR="00E42A71" w:rsidRPr="00B72B68" w:rsidRDefault="00E42A71" w:rsidP="005151F7">
            <w:pPr>
              <w:pStyle w:val="Odstavecseseznamem"/>
              <w:spacing w:before="60"/>
              <w:ind w:left="0"/>
              <w:jc w:val="both"/>
            </w:pPr>
            <w:r w:rsidRPr="00B72B68">
              <w:t xml:space="preserve">Organizátor popíše </w:t>
            </w:r>
            <w:r w:rsidRPr="00B72B68">
              <w:rPr>
                <w:b/>
              </w:rPr>
              <w:t>změny</w:t>
            </w:r>
          </w:p>
          <w:p w:rsidR="00E42A71" w:rsidRPr="00B72B68" w:rsidRDefault="00E42A71" w:rsidP="00E42A71">
            <w:pPr>
              <w:pStyle w:val="Odstavecseseznamem"/>
              <w:numPr>
                <w:ilvl w:val="0"/>
                <w:numId w:val="2"/>
              </w:numPr>
              <w:jc w:val="both"/>
            </w:pPr>
            <w:r w:rsidRPr="00B72B68">
              <w:t>v popisu potřeb, které mají být splněním veřejné zakázky naplněny,</w:t>
            </w:r>
          </w:p>
          <w:p w:rsidR="00E42A71" w:rsidRPr="00B72B68" w:rsidRDefault="00E42A71" w:rsidP="00E42A71">
            <w:pPr>
              <w:pStyle w:val="Odstavecseseznamem"/>
              <w:numPr>
                <w:ilvl w:val="0"/>
                <w:numId w:val="2"/>
              </w:numPr>
              <w:jc w:val="both"/>
            </w:pPr>
            <w:r w:rsidRPr="00B72B68">
              <w:t>v popisu předmětu veřejné zakázky</w:t>
            </w:r>
          </w:p>
          <w:p w:rsidR="00E42A71" w:rsidRPr="00B72B68" w:rsidRDefault="00E42A71" w:rsidP="00E42A71">
            <w:pPr>
              <w:pStyle w:val="Odstavecseseznamem"/>
              <w:numPr>
                <w:ilvl w:val="0"/>
                <w:numId w:val="2"/>
              </w:numPr>
              <w:jc w:val="both"/>
            </w:pPr>
            <w:r w:rsidRPr="00B72B68">
              <w:t>vzájemného vztahu předmětu veřejné zakázky a potřeb zadavatele,</w:t>
            </w:r>
          </w:p>
          <w:p w:rsidR="00E42A71" w:rsidRPr="00B72B68" w:rsidRDefault="00E42A71" w:rsidP="00E42A71">
            <w:pPr>
              <w:pStyle w:val="Odstavecseseznamem"/>
              <w:numPr>
                <w:ilvl w:val="0"/>
                <w:numId w:val="2"/>
              </w:numPr>
              <w:jc w:val="both"/>
            </w:pPr>
            <w:r w:rsidRPr="00B72B68">
              <w:t>v předpokládaném termínu splnění veřejné zakázky</w:t>
            </w:r>
          </w:p>
          <w:p w:rsidR="00E42A71" w:rsidRPr="00B72B68" w:rsidRDefault="00E42A71" w:rsidP="005151F7">
            <w:pPr>
              <w:pStyle w:val="Odstavecseseznamem"/>
              <w:spacing w:after="60"/>
              <w:ind w:left="0"/>
              <w:jc w:val="both"/>
              <w:rPr>
                <w:b/>
                <w:color w:val="FF0000"/>
              </w:rPr>
            </w:pPr>
            <w:r w:rsidRPr="00B72B68">
              <w:rPr>
                <w:b/>
              </w:rPr>
              <w:t>oproti skutečnostem uvedeným v bodě 1.</w:t>
            </w:r>
          </w:p>
        </w:tc>
        <w:tc>
          <w:tcPr>
            <w:tcW w:w="5528" w:type="dxa"/>
          </w:tcPr>
          <w:p w:rsidR="00E42A71" w:rsidRPr="00B72B68" w:rsidRDefault="00E42A71" w:rsidP="005151F7">
            <w:pPr>
              <w:pStyle w:val="Odstavecseseznamem"/>
              <w:spacing w:before="60" w:after="60"/>
              <w:ind w:left="0"/>
              <w:jc w:val="both"/>
            </w:pPr>
            <w:r w:rsidRPr="00B72B68">
              <w:t xml:space="preserve">Oproti Oznámení předběžných informací uveřejněnému dne 5. 2. 2015 ve věstníku veřejných zakázek došlo k následující </w:t>
            </w:r>
            <w:r w:rsidR="00503072" w:rsidRPr="00B72B68">
              <w:t>precizaci</w:t>
            </w:r>
            <w:r w:rsidR="00D304B5" w:rsidRPr="00B72B68">
              <w:t xml:space="preserve"> předmětu plnění</w:t>
            </w:r>
            <w:r w:rsidRPr="00B72B68">
              <w:t>:</w:t>
            </w:r>
          </w:p>
          <w:p w:rsidR="00E74A46" w:rsidRPr="00B72B68" w:rsidRDefault="00E74A46" w:rsidP="00E42A71">
            <w:pPr>
              <w:pStyle w:val="Odstavecseseznamem"/>
              <w:numPr>
                <w:ilvl w:val="0"/>
                <w:numId w:val="5"/>
              </w:numPr>
              <w:spacing w:before="60" w:after="60"/>
              <w:jc w:val="both"/>
            </w:pPr>
            <w:r w:rsidRPr="00B72B68">
              <w:t>doba poskyt</w:t>
            </w:r>
            <w:r w:rsidR="00BE6BBF" w:rsidRPr="00B72B68">
              <w:t>ování plnění bude v délce 4 let; z</w:t>
            </w:r>
            <w:r w:rsidRPr="00B72B68">
              <w:t>akázka by tak měla být dle stávajících předpokladů re</w:t>
            </w:r>
            <w:r w:rsidR="00BE6BBF" w:rsidRPr="00B72B68">
              <w:t xml:space="preserve">alizována od </w:t>
            </w:r>
            <w:r w:rsidR="00061202" w:rsidRPr="00B72B68">
              <w:t>4</w:t>
            </w:r>
            <w:r w:rsidR="00BE6BBF" w:rsidRPr="00B72B68">
              <w:t>. 1. 201</w:t>
            </w:r>
            <w:r w:rsidR="00061202" w:rsidRPr="00B72B68">
              <w:t>6</w:t>
            </w:r>
            <w:r w:rsidR="00BE6BBF" w:rsidRPr="00B72B68">
              <w:t xml:space="preserve"> do 3. </w:t>
            </w:r>
            <w:r w:rsidRPr="00B72B68">
              <w:t>1. 20</w:t>
            </w:r>
            <w:r w:rsidR="00061202" w:rsidRPr="00B72B68">
              <w:t>20</w:t>
            </w:r>
            <w:r w:rsidRPr="00B72B68">
              <w:t>.</w:t>
            </w:r>
          </w:p>
          <w:p w:rsidR="00E42A71" w:rsidRPr="00B72B68" w:rsidRDefault="00E42A71" w:rsidP="00E42A71">
            <w:pPr>
              <w:pStyle w:val="Odstavecseseznamem"/>
              <w:numPr>
                <w:ilvl w:val="0"/>
                <w:numId w:val="5"/>
              </w:numPr>
              <w:spacing w:before="60" w:after="60"/>
              <w:jc w:val="both"/>
              <w:rPr>
                <w:i/>
                <w:color w:val="FF0000"/>
              </w:rPr>
            </w:pPr>
            <w:r w:rsidRPr="00B72B68">
              <w:t xml:space="preserve">z důvodu </w:t>
            </w:r>
            <w:r w:rsidR="00E74A46" w:rsidRPr="00B72B68">
              <w:t>zkrácení délky posky</w:t>
            </w:r>
            <w:r w:rsidR="00D304B5" w:rsidRPr="00B72B68">
              <w:t>tování plnění došlo k odpovídající úpravě</w:t>
            </w:r>
            <w:r w:rsidRPr="00B72B68">
              <w:t xml:space="preserve"> předpokládané hodnot</w:t>
            </w:r>
            <w:r w:rsidR="00E74A46" w:rsidRPr="00B72B68">
              <w:t>y</w:t>
            </w:r>
            <w:r w:rsidRPr="00B72B68">
              <w:t xml:space="preserve"> veřejné zakázky na 16 500 000,- Kč bez DPH</w:t>
            </w:r>
          </w:p>
          <w:p w:rsidR="00E42A71" w:rsidRPr="00B72B68" w:rsidRDefault="00E42A71" w:rsidP="00E74A46">
            <w:pPr>
              <w:pStyle w:val="Odstavecseseznamem"/>
              <w:numPr>
                <w:ilvl w:val="0"/>
                <w:numId w:val="5"/>
              </w:numPr>
              <w:spacing w:before="60" w:after="60"/>
              <w:jc w:val="both"/>
              <w:rPr>
                <w:i/>
                <w:color w:val="FF0000"/>
              </w:rPr>
            </w:pPr>
            <w:r w:rsidRPr="00B72B68">
              <w:t xml:space="preserve">požadavek minimálně 7 členného týmu byl upraven na požadavek 7 pozic, </w:t>
            </w:r>
            <w:r w:rsidR="00E74A46" w:rsidRPr="00B72B68">
              <w:t xml:space="preserve">některé </w:t>
            </w:r>
            <w:proofErr w:type="gramStart"/>
            <w:r w:rsidR="00E74A46" w:rsidRPr="00B72B68">
              <w:t xml:space="preserve">pozice  </w:t>
            </w:r>
            <w:r w:rsidRPr="00B72B68">
              <w:t>realizačního</w:t>
            </w:r>
            <w:proofErr w:type="gramEnd"/>
            <w:r w:rsidRPr="00B72B68">
              <w:t xml:space="preserve"> týmu mohou </w:t>
            </w:r>
            <w:r w:rsidR="00E74A46" w:rsidRPr="00B72B68">
              <w:t xml:space="preserve">být </w:t>
            </w:r>
            <w:r w:rsidRPr="00B72B68">
              <w:t>zastáv</w:t>
            </w:r>
            <w:r w:rsidR="00E74A46" w:rsidRPr="00B72B68">
              <w:t>ány</w:t>
            </w:r>
            <w:r w:rsidR="00D304B5" w:rsidRPr="00B72B68">
              <w:t xml:space="preserve"> </w:t>
            </w:r>
            <w:r w:rsidR="00E74A46" w:rsidRPr="00B72B68">
              <w:t>stejnou osobou</w:t>
            </w:r>
          </w:p>
        </w:tc>
      </w:tr>
      <w:tr w:rsidR="00E42A71" w:rsidRPr="00B72B68" w:rsidTr="005151F7">
        <w:tc>
          <w:tcPr>
            <w:tcW w:w="3794" w:type="dxa"/>
          </w:tcPr>
          <w:p w:rsidR="00E42A71" w:rsidRPr="00B72B68" w:rsidDel="00220BCF" w:rsidRDefault="00E42A71" w:rsidP="005151F7">
            <w:pPr>
              <w:pStyle w:val="Odstavecseseznamem"/>
              <w:spacing w:before="60" w:after="60"/>
              <w:ind w:left="0"/>
              <w:jc w:val="both"/>
            </w:pPr>
            <w:r w:rsidRPr="00B72B68">
              <w:t xml:space="preserve">Popis rizik souvisejících s plněním veřejné zakázky, která zadavatel zohlednil při stanovení zadávacích podmínek. </w:t>
            </w:r>
          </w:p>
        </w:tc>
        <w:tc>
          <w:tcPr>
            <w:tcW w:w="5528" w:type="dxa"/>
          </w:tcPr>
          <w:p w:rsidR="00E42A71" w:rsidRPr="00B72B68" w:rsidRDefault="00E42A71" w:rsidP="005151F7">
            <w:pPr>
              <w:spacing w:before="60" w:after="60"/>
              <w:jc w:val="both"/>
            </w:pPr>
            <w:r w:rsidRPr="00B72B68">
              <w:t>Při stanovení zadávacích podmínek byla zohledněna rizika uvedená níže.</w:t>
            </w:r>
          </w:p>
          <w:p w:rsidR="00E42A71" w:rsidRPr="00B72B68" w:rsidRDefault="00E42A71" w:rsidP="005151F7">
            <w:pPr>
              <w:spacing w:before="60" w:after="60"/>
              <w:jc w:val="both"/>
            </w:pPr>
            <w:r w:rsidRPr="00B72B68">
              <w:t>Zadavatel musí najít řešení pro zajištění vývoje portálu pro potřeby OPZ v období od října 2015 dále.</w:t>
            </w:r>
          </w:p>
          <w:p w:rsidR="00E42A71" w:rsidRPr="00B72B68" w:rsidRDefault="00E42A71" w:rsidP="005151F7">
            <w:pPr>
              <w:spacing w:before="60"/>
              <w:jc w:val="both"/>
            </w:pPr>
            <w:r w:rsidRPr="00B72B68">
              <w:t xml:space="preserve">Aktuálně provozuje tyto webové aplikace ESF: </w:t>
            </w:r>
          </w:p>
          <w:p w:rsidR="00E42A71" w:rsidRPr="00B72B68" w:rsidRDefault="00E42A71" w:rsidP="00E42A71">
            <w:pPr>
              <w:pStyle w:val="Odstavecseseznamem"/>
              <w:numPr>
                <w:ilvl w:val="0"/>
                <w:numId w:val="3"/>
              </w:numPr>
              <w:spacing w:before="60"/>
              <w:ind w:left="714" w:hanging="357"/>
              <w:jc w:val="both"/>
            </w:pPr>
            <w:r w:rsidRPr="00B72B68">
              <w:t>redakční systém pro www.esfcr.cz,</w:t>
            </w:r>
          </w:p>
          <w:p w:rsidR="00E42A71" w:rsidRPr="00B72B68" w:rsidRDefault="00E42A71" w:rsidP="00E42A71">
            <w:pPr>
              <w:pStyle w:val="Odstavecseseznamem"/>
              <w:numPr>
                <w:ilvl w:val="0"/>
                <w:numId w:val="3"/>
              </w:numPr>
              <w:ind w:left="714" w:hanging="357"/>
              <w:jc w:val="both"/>
            </w:pPr>
            <w:r w:rsidRPr="00B72B68">
              <w:t>databáze produktů,</w:t>
            </w:r>
          </w:p>
          <w:p w:rsidR="00E42A71" w:rsidRPr="00B72B68" w:rsidRDefault="00E42A71" w:rsidP="00E42A71">
            <w:pPr>
              <w:pStyle w:val="Odstavecseseznamem"/>
              <w:numPr>
                <w:ilvl w:val="0"/>
                <w:numId w:val="3"/>
              </w:numPr>
              <w:ind w:left="714" w:hanging="357"/>
              <w:jc w:val="both"/>
            </w:pPr>
            <w:r w:rsidRPr="00B72B68">
              <w:t>fórum ESF,</w:t>
            </w:r>
          </w:p>
          <w:p w:rsidR="00E42A71" w:rsidRPr="00B72B68" w:rsidRDefault="00E42A71" w:rsidP="00E42A71">
            <w:pPr>
              <w:pStyle w:val="Odstavecseseznamem"/>
              <w:numPr>
                <w:ilvl w:val="0"/>
                <w:numId w:val="3"/>
              </w:numPr>
              <w:ind w:left="714" w:hanging="357"/>
              <w:jc w:val="both"/>
            </w:pPr>
            <w:r w:rsidRPr="00B72B68">
              <w:t>databáze nesrovnalostí IDA,</w:t>
            </w:r>
          </w:p>
          <w:p w:rsidR="00E42A71" w:rsidRPr="00B72B68" w:rsidRDefault="00E42A71" w:rsidP="00E42A71">
            <w:pPr>
              <w:pStyle w:val="Odstavecseseznamem"/>
              <w:numPr>
                <w:ilvl w:val="0"/>
                <w:numId w:val="3"/>
              </w:numPr>
              <w:ind w:left="714" w:hanging="357"/>
              <w:jc w:val="both"/>
            </w:pPr>
            <w:r w:rsidRPr="00B72B68">
              <w:t>nástroj pro průzkumy,</w:t>
            </w:r>
          </w:p>
          <w:p w:rsidR="00E42A71" w:rsidRPr="00B72B68" w:rsidRDefault="00E42A71" w:rsidP="00E42A71">
            <w:pPr>
              <w:pStyle w:val="Odstavecseseznamem"/>
              <w:numPr>
                <w:ilvl w:val="0"/>
                <w:numId w:val="3"/>
              </w:numPr>
              <w:spacing w:after="60"/>
              <w:ind w:left="714" w:hanging="357"/>
              <w:jc w:val="both"/>
            </w:pPr>
            <w:r w:rsidRPr="00B72B68">
              <w:t xml:space="preserve">řízení úkolů a </w:t>
            </w:r>
            <w:proofErr w:type="spellStart"/>
            <w:r w:rsidRPr="00B72B68">
              <w:t>workflow</w:t>
            </w:r>
            <w:proofErr w:type="spellEnd"/>
            <w:r w:rsidRPr="00B72B68">
              <w:t xml:space="preserve"> </w:t>
            </w:r>
            <w:proofErr w:type="spellStart"/>
            <w:r w:rsidRPr="00B72B68">
              <w:t>Redmine</w:t>
            </w:r>
            <w:proofErr w:type="spellEnd"/>
            <w:r w:rsidRPr="00B72B68">
              <w:t>.</w:t>
            </w:r>
          </w:p>
          <w:p w:rsidR="00E42A71" w:rsidRPr="00B72B68" w:rsidRDefault="00E42A71" w:rsidP="005151F7">
            <w:pPr>
              <w:spacing w:before="60" w:after="60"/>
              <w:jc w:val="both"/>
            </w:pPr>
            <w:r w:rsidRPr="00B72B68">
              <w:t>V průběhu času budou přibývat další, např.:</w:t>
            </w:r>
          </w:p>
          <w:p w:rsidR="00E42A71" w:rsidRPr="00B72B68" w:rsidRDefault="00E42A71" w:rsidP="00E42A71">
            <w:pPr>
              <w:pStyle w:val="Odstavecseseznamem"/>
              <w:numPr>
                <w:ilvl w:val="0"/>
                <w:numId w:val="4"/>
              </w:numPr>
              <w:ind w:left="714" w:hanging="357"/>
              <w:jc w:val="both"/>
            </w:pPr>
            <w:r w:rsidRPr="00B72B68">
              <w:t>nástroj pro přihlašování / odhlašování docházky na akce,</w:t>
            </w:r>
          </w:p>
          <w:p w:rsidR="00E42A71" w:rsidRPr="00B72B68" w:rsidRDefault="00E42A71" w:rsidP="00E42A71">
            <w:pPr>
              <w:pStyle w:val="Odstavecseseznamem"/>
              <w:numPr>
                <w:ilvl w:val="0"/>
                <w:numId w:val="4"/>
              </w:numPr>
              <w:ind w:left="714" w:hanging="357"/>
              <w:jc w:val="both"/>
            </w:pPr>
            <w:r w:rsidRPr="00B72B68">
              <w:t xml:space="preserve">generátor šablonovitých projektů pro příjemce, </w:t>
            </w:r>
          </w:p>
          <w:p w:rsidR="00E42A71" w:rsidRPr="00B72B68" w:rsidRDefault="00E42A71" w:rsidP="00E42A71">
            <w:pPr>
              <w:pStyle w:val="Odstavecseseznamem"/>
              <w:numPr>
                <w:ilvl w:val="0"/>
                <w:numId w:val="4"/>
              </w:numPr>
              <w:ind w:left="714" w:hanging="357"/>
              <w:jc w:val="both"/>
            </w:pPr>
            <w:r w:rsidRPr="00B72B68">
              <w:t>evidence pro registraci a výběr hodnotitelů</w:t>
            </w:r>
          </w:p>
          <w:p w:rsidR="00E42A71" w:rsidRPr="00B72B68" w:rsidRDefault="00E42A71" w:rsidP="00E42A71">
            <w:pPr>
              <w:pStyle w:val="Odstavecseseznamem"/>
              <w:numPr>
                <w:ilvl w:val="0"/>
                <w:numId w:val="4"/>
              </w:numPr>
              <w:spacing w:after="60"/>
              <w:ind w:left="714" w:hanging="357"/>
              <w:jc w:val="both"/>
            </w:pPr>
            <w:r w:rsidRPr="00B72B68">
              <w:t xml:space="preserve">tvorba personalizovaného rozcestníku informací pro konkrétního uživatele na způsob expertního systému. </w:t>
            </w:r>
          </w:p>
          <w:p w:rsidR="00E42A71" w:rsidRPr="00B72B68" w:rsidRDefault="00E42A71" w:rsidP="005151F7">
            <w:pPr>
              <w:spacing w:before="60" w:after="60"/>
              <w:jc w:val="both"/>
            </w:pPr>
            <w:r w:rsidRPr="00B72B68">
              <w:t>Požadavky na zajištění ICT podpory budou přibývat v čase přírůstkově, v horizontu 4 let nelze všechny tyto potřeby předem odhadnout.</w:t>
            </w:r>
          </w:p>
          <w:p w:rsidR="00E42A71" w:rsidRPr="00B72B68" w:rsidRDefault="00E42A71" w:rsidP="005151F7">
            <w:pPr>
              <w:spacing w:before="60" w:after="60"/>
              <w:jc w:val="both"/>
            </w:pPr>
            <w:r w:rsidRPr="00B72B68">
              <w:t xml:space="preserve">Hlavním rizikem </w:t>
            </w:r>
            <w:proofErr w:type="spellStart"/>
            <w:r w:rsidRPr="00B72B68">
              <w:t>nerealizace</w:t>
            </w:r>
            <w:proofErr w:type="spellEnd"/>
            <w:r w:rsidRPr="00B72B68">
              <w:t xml:space="preserve"> zakázky je nenaplnění informačních a komunikačních povinností řídicího </w:t>
            </w:r>
            <w:r w:rsidRPr="00B72B68">
              <w:lastRenderedPageBreak/>
              <w:t>orgánu, případně kolaps externí či interní komunikace při implementaci OPZ i uzavírání OP LZZ.</w:t>
            </w:r>
          </w:p>
          <w:p w:rsidR="00AD3F27" w:rsidRPr="00B72B68" w:rsidRDefault="00AD3F27" w:rsidP="00B72B68">
            <w:pPr>
              <w:widowControl w:val="0"/>
              <w:overflowPunct w:val="0"/>
              <w:autoSpaceDE w:val="0"/>
              <w:autoSpaceDN w:val="0"/>
              <w:adjustRightInd w:val="0"/>
              <w:spacing w:before="120" w:line="280" w:lineRule="atLeast"/>
              <w:jc w:val="both"/>
              <w:textAlignment w:val="baseline"/>
              <w:rPr>
                <w:b/>
                <w:bCs/>
                <w:u w:val="single"/>
              </w:rPr>
            </w:pPr>
            <w:r w:rsidRPr="00B72B68">
              <w:rPr>
                <w:b/>
                <w:bCs/>
                <w:u w:val="single"/>
              </w:rPr>
              <w:t xml:space="preserve">Riziko </w:t>
            </w:r>
            <w:proofErr w:type="spellStart"/>
            <w:r w:rsidRPr="00B72B68">
              <w:rPr>
                <w:b/>
                <w:bCs/>
                <w:u w:val="single"/>
              </w:rPr>
              <w:t>nerealizace</w:t>
            </w:r>
            <w:proofErr w:type="spellEnd"/>
            <w:r w:rsidRPr="00B72B68">
              <w:rPr>
                <w:b/>
                <w:bCs/>
                <w:u w:val="single"/>
              </w:rPr>
              <w:t xml:space="preserve"> veřejné zakázky</w:t>
            </w:r>
          </w:p>
          <w:p w:rsidR="00F64DD4" w:rsidRPr="00B72B68" w:rsidRDefault="00AD3F27" w:rsidP="00AD3F27">
            <w:pPr>
              <w:spacing w:before="120" w:line="280" w:lineRule="atLeast"/>
              <w:jc w:val="both"/>
            </w:pPr>
            <w:r w:rsidRPr="00B72B68">
              <w:rPr>
                <w:bCs/>
              </w:rPr>
              <w:t>V zájmu</w:t>
            </w:r>
            <w:r w:rsidR="00F95B92" w:rsidRPr="00B72B68">
              <w:rPr>
                <w:bCs/>
              </w:rPr>
              <w:t xml:space="preserve"> eliminace tohoto rizika zadavatel zejména zajistil odbornou přípravu zadávacích podmínek a </w:t>
            </w:r>
            <w:r w:rsidRPr="00B72B68">
              <w:t xml:space="preserve">dodržování relevantních právních předpisů v průběhu zadávacího řízení. </w:t>
            </w:r>
          </w:p>
          <w:p w:rsidR="00AC0740" w:rsidRPr="00B72B68" w:rsidRDefault="00AC0740" w:rsidP="00B72B68">
            <w:pPr>
              <w:spacing w:before="120" w:line="280" w:lineRule="atLeast"/>
              <w:jc w:val="both"/>
              <w:rPr>
                <w:b/>
                <w:u w:val="single"/>
              </w:rPr>
            </w:pPr>
            <w:r w:rsidRPr="00B72B68">
              <w:rPr>
                <w:b/>
                <w:u w:val="single"/>
              </w:rPr>
              <w:t xml:space="preserve">Riziko prodlení </w:t>
            </w:r>
            <w:r w:rsidR="008B0F83" w:rsidRPr="00B72B68">
              <w:rPr>
                <w:b/>
                <w:u w:val="single"/>
              </w:rPr>
              <w:t xml:space="preserve">s </w:t>
            </w:r>
            <w:r w:rsidRPr="00B72B68">
              <w:rPr>
                <w:b/>
                <w:u w:val="single"/>
              </w:rPr>
              <w:t>plnění</w:t>
            </w:r>
            <w:r w:rsidR="008B0F83" w:rsidRPr="00B72B68">
              <w:rPr>
                <w:b/>
                <w:u w:val="single"/>
              </w:rPr>
              <w:t>m</w:t>
            </w:r>
            <w:r w:rsidRPr="00B72B68">
              <w:rPr>
                <w:b/>
                <w:u w:val="single"/>
              </w:rPr>
              <w:t xml:space="preserve"> veřejné zakázky</w:t>
            </w:r>
          </w:p>
          <w:p w:rsidR="00AC0740" w:rsidRPr="00B72B68" w:rsidRDefault="00AC0740" w:rsidP="00AD3F27">
            <w:pPr>
              <w:spacing w:before="120" w:line="280" w:lineRule="atLeast"/>
              <w:jc w:val="both"/>
            </w:pPr>
            <w:r w:rsidRPr="00B72B68">
              <w:rPr>
                <w:bCs/>
              </w:rPr>
              <w:t>Riziko prodlení bude eliminováno smluvně nastavenými lhůtami plnění, na něž budou navázány sankce.</w:t>
            </w:r>
          </w:p>
          <w:p w:rsidR="0033260B" w:rsidRPr="00B72B68" w:rsidRDefault="0033260B" w:rsidP="00B72B68">
            <w:pPr>
              <w:keepNext/>
              <w:widowControl w:val="0"/>
              <w:overflowPunct w:val="0"/>
              <w:autoSpaceDE w:val="0"/>
              <w:autoSpaceDN w:val="0"/>
              <w:adjustRightInd w:val="0"/>
              <w:spacing w:before="120" w:line="280" w:lineRule="atLeast"/>
              <w:jc w:val="both"/>
              <w:textAlignment w:val="baseline"/>
              <w:rPr>
                <w:b/>
                <w:bCs/>
                <w:u w:val="single"/>
              </w:rPr>
            </w:pPr>
            <w:r w:rsidRPr="00B72B68">
              <w:rPr>
                <w:b/>
                <w:bCs/>
                <w:u w:val="single"/>
              </w:rPr>
              <w:t>Riziko snížení kvality plnění</w:t>
            </w:r>
          </w:p>
          <w:p w:rsidR="005516BE" w:rsidRPr="00B72B68" w:rsidRDefault="0033260B" w:rsidP="00631548">
            <w:pPr>
              <w:keepNext/>
              <w:spacing w:before="60" w:after="60" w:line="264" w:lineRule="auto"/>
              <w:jc w:val="both"/>
            </w:pPr>
            <w:r w:rsidRPr="00B72B68">
              <w:rPr>
                <w:bCs/>
              </w:rPr>
              <w:t>Kvalita plnění je zadavatelem jasně a určitě definována v zadávacích podmínkách</w:t>
            </w:r>
            <w:r w:rsidRPr="00B72B68">
              <w:t>. Za účelem zajištění kvality plnění zadavatel stanovil požadavky na kvalifikační předpoklady, které zajistí výběr kvalifikovaných dodavatelů</w:t>
            </w:r>
            <w:r w:rsidR="00B95812" w:rsidRPr="00B72B68">
              <w:t xml:space="preserve"> (např. požadavky na praxi a zkušenosti jednotlivých členů týmu)</w:t>
            </w:r>
            <w:r w:rsidRPr="00B72B68">
              <w:t xml:space="preserve">. </w:t>
            </w:r>
          </w:p>
          <w:p w:rsidR="0033260B" w:rsidRPr="00B72B68" w:rsidRDefault="0033260B" w:rsidP="0033260B">
            <w:pPr>
              <w:spacing w:before="60" w:after="60" w:line="264" w:lineRule="auto"/>
              <w:jc w:val="both"/>
            </w:pPr>
            <w:r w:rsidRPr="00B72B68">
              <w:t xml:space="preserve">Zadavatel bude po celou dobu plnění předmětu veřejné zakázky požadovat, aby předmět plnění byl poskytován v kvalitě stanovené zadavatelem v zadávacích podmínkách a aby veřejná zakázka byla realizována prostřednictvím odborně způsobilých osob, kterými uchazeč prokazoval splnění odpovídající kvalifikace. </w:t>
            </w:r>
          </w:p>
          <w:p w:rsidR="0033260B" w:rsidRPr="00B72B68" w:rsidRDefault="0033260B" w:rsidP="00B72B68">
            <w:pPr>
              <w:widowControl w:val="0"/>
              <w:overflowPunct w:val="0"/>
              <w:autoSpaceDE w:val="0"/>
              <w:autoSpaceDN w:val="0"/>
              <w:adjustRightInd w:val="0"/>
              <w:spacing w:before="120" w:line="280" w:lineRule="atLeast"/>
              <w:jc w:val="both"/>
              <w:textAlignment w:val="baseline"/>
              <w:rPr>
                <w:b/>
                <w:bCs/>
                <w:u w:val="single"/>
              </w:rPr>
            </w:pPr>
            <w:r w:rsidRPr="00B72B68">
              <w:rPr>
                <w:b/>
                <w:bCs/>
                <w:u w:val="single"/>
              </w:rPr>
              <w:t>Riziko vynaložení dalších finančních nákladů</w:t>
            </w:r>
          </w:p>
          <w:p w:rsidR="00E42A71" w:rsidRPr="00B72B68" w:rsidRDefault="0033260B" w:rsidP="00AC0740">
            <w:pPr>
              <w:spacing w:before="120" w:line="280" w:lineRule="atLeast"/>
              <w:jc w:val="both"/>
              <w:rPr>
                <w:bCs/>
              </w:rPr>
            </w:pPr>
            <w:r w:rsidRPr="00B72B68">
              <w:rPr>
                <w:bCs/>
              </w:rPr>
              <w:t>Předmět plnění veřejné zakázky je jasně a určitě definován zadávacími podmínkami,</w:t>
            </w:r>
            <w:r w:rsidRPr="00B72B68">
              <w:t xml:space="preserve"> resp. vymezením předmětu plnění veřejné zakázky v souladu se ZVZ. Nabídková cena, resp. její jednotlivé dílčí složky jsou konečné a musí obsahovat veškeré náklady související s pl</w:t>
            </w:r>
            <w:r w:rsidR="00B95812" w:rsidRPr="00B72B68">
              <w:t xml:space="preserve">něním předmětu veřejné zakázky. </w:t>
            </w:r>
            <w:r w:rsidR="00AC0740" w:rsidRPr="00B72B68">
              <w:t xml:space="preserve">Navíc, </w:t>
            </w:r>
            <w:r w:rsidR="00AC0740" w:rsidRPr="00B72B68">
              <w:rPr>
                <w:bCs/>
              </w:rPr>
              <w:t xml:space="preserve">výše jednotlivých sazeb bude omezena již v zadávací dokumentaci, zároveň sazby uvedené v nabídce budou maximální možné. </w:t>
            </w:r>
            <w:r w:rsidRPr="00B72B68">
              <w:t>Vzhledem k výše uvedenému zadavatel nepředpokládá vynaložení dalších finančních nákladů v souvislosti s realizací předmětné veřejné zakázky. V případě nutnosti vynaložení dalších finančních nákladů z důvodu na straně uchazeče, s nímž bude smlouva uzavřena, bude zadavatel v souladu s platnými a účinnými právními předpisy uplatňovat nárok na náhradu škody či jiné újmy.</w:t>
            </w:r>
            <w:r w:rsidR="00AC0740" w:rsidRPr="00B72B68">
              <w:t xml:space="preserve"> </w:t>
            </w:r>
            <w:r w:rsidR="00AC0740" w:rsidRPr="00B72B68">
              <w:rPr>
                <w:bCs/>
              </w:rPr>
              <w:t xml:space="preserve">Kromě toho budou předem schvalovány odhady počtu hodin, které práce zaberou, a výkazy prací, na jejichž základě bude probíhat fakturace, budou muset být </w:t>
            </w:r>
            <w:r w:rsidR="00AC0740" w:rsidRPr="00B72B68">
              <w:rPr>
                <w:bCs/>
              </w:rPr>
              <w:lastRenderedPageBreak/>
              <w:t>schváleny pověřeným zástupcem zadavatele.</w:t>
            </w:r>
          </w:p>
        </w:tc>
      </w:tr>
      <w:tr w:rsidR="00E42A71" w:rsidRPr="00B72B68" w:rsidTr="005151F7">
        <w:tc>
          <w:tcPr>
            <w:tcW w:w="3794" w:type="dxa"/>
          </w:tcPr>
          <w:p w:rsidR="00E42A71" w:rsidRPr="00B72B68" w:rsidRDefault="00E42A71" w:rsidP="005151F7">
            <w:pPr>
              <w:pStyle w:val="Odstavecseseznamem"/>
              <w:spacing w:before="60" w:after="60"/>
              <w:ind w:left="0"/>
              <w:jc w:val="both"/>
              <w:rPr>
                <w:color w:val="FF0000"/>
              </w:rPr>
            </w:pPr>
            <w:r w:rsidRPr="00B72B68">
              <w:lastRenderedPageBreak/>
              <w:t>Organizátor může vymezit varianty naplnění potřeby a zdůvodnění zvolené alternativy veřejné zakázky.</w:t>
            </w:r>
          </w:p>
        </w:tc>
        <w:tc>
          <w:tcPr>
            <w:tcW w:w="5528" w:type="dxa"/>
          </w:tcPr>
          <w:p w:rsidR="00E42A71" w:rsidRPr="00B72B68" w:rsidRDefault="00E42A71" w:rsidP="005151F7">
            <w:pPr>
              <w:spacing w:before="60" w:after="60"/>
              <w:jc w:val="both"/>
            </w:pPr>
            <w:r w:rsidRPr="00B72B68">
              <w:t>Alternativní možností je úprava a rozšíření realizačního týmu v rámci projektu TA „PIN OP LZZ“, návazně v OPZ financovaného z prostředků na platy z projektu TA OPZ. Stávající realizační tým by musel být rozšířen o tyto role (celkem 6 osob):</w:t>
            </w:r>
          </w:p>
          <w:p w:rsidR="00E42A71" w:rsidRPr="00B72B68" w:rsidRDefault="00E42A71" w:rsidP="00E42A71">
            <w:pPr>
              <w:pStyle w:val="Odstavecseseznamem"/>
              <w:numPr>
                <w:ilvl w:val="0"/>
                <w:numId w:val="6"/>
              </w:numPr>
              <w:spacing w:before="60" w:after="60"/>
              <w:jc w:val="both"/>
            </w:pPr>
            <w:r w:rsidRPr="00B72B68">
              <w:t>Vývojář 3x</w:t>
            </w:r>
          </w:p>
          <w:p w:rsidR="00E42A71" w:rsidRPr="00B72B68" w:rsidRDefault="00E42A71" w:rsidP="00E42A71">
            <w:pPr>
              <w:pStyle w:val="Odstavecseseznamem"/>
              <w:numPr>
                <w:ilvl w:val="0"/>
                <w:numId w:val="6"/>
              </w:numPr>
              <w:spacing w:before="60" w:after="60"/>
              <w:jc w:val="both"/>
            </w:pPr>
            <w:r w:rsidRPr="00B72B68">
              <w:t>Databázový specialista 2x</w:t>
            </w:r>
          </w:p>
          <w:p w:rsidR="00E42A71" w:rsidRPr="00B72B68" w:rsidRDefault="00E42A71" w:rsidP="00E42A71">
            <w:pPr>
              <w:pStyle w:val="Odstavecseseznamem"/>
              <w:numPr>
                <w:ilvl w:val="0"/>
                <w:numId w:val="6"/>
              </w:numPr>
              <w:spacing w:before="60" w:after="60"/>
              <w:jc w:val="both"/>
            </w:pPr>
            <w:r w:rsidRPr="00B72B68">
              <w:t>Dokumentarista, tester a školitel 1x</w:t>
            </w:r>
          </w:p>
          <w:p w:rsidR="00E42A71" w:rsidRPr="00B72B68" w:rsidRDefault="00E42A71" w:rsidP="005151F7">
            <w:pPr>
              <w:spacing w:before="60" w:after="60"/>
              <w:jc w:val="both"/>
            </w:pPr>
            <w:r w:rsidRPr="00B72B68">
              <w:t>Výhody:</w:t>
            </w:r>
          </w:p>
          <w:p w:rsidR="00E42A71" w:rsidRPr="00B72B68" w:rsidRDefault="00E42A71" w:rsidP="00E42A71">
            <w:pPr>
              <w:pStyle w:val="Odstavecseseznamem"/>
              <w:numPr>
                <w:ilvl w:val="0"/>
                <w:numId w:val="7"/>
              </w:numPr>
              <w:spacing w:before="60" w:after="60"/>
              <w:jc w:val="both"/>
            </w:pPr>
            <w:r w:rsidRPr="00B72B68">
              <w:t xml:space="preserve">V průměru nižší náklady na pracovní sílu, odpadají režijní náklady soukromé firmy </w:t>
            </w:r>
          </w:p>
          <w:p w:rsidR="00E42A71" w:rsidRPr="00B72B68" w:rsidRDefault="00E42A71" w:rsidP="00E42A71">
            <w:pPr>
              <w:pStyle w:val="Odstavecseseznamem"/>
              <w:numPr>
                <w:ilvl w:val="0"/>
                <w:numId w:val="7"/>
              </w:numPr>
              <w:spacing w:before="60" w:after="60"/>
              <w:jc w:val="both"/>
            </w:pPr>
            <w:r w:rsidRPr="00B72B68">
              <w:t>Postupně lepší znalost interního prostředí a porozumění požadavkům klientů (uživatelů aplikací)</w:t>
            </w:r>
          </w:p>
          <w:p w:rsidR="00E42A71" w:rsidRPr="00B72B68" w:rsidRDefault="00E42A71" w:rsidP="00E42A71">
            <w:pPr>
              <w:pStyle w:val="Odstavecseseznamem"/>
              <w:numPr>
                <w:ilvl w:val="0"/>
                <w:numId w:val="7"/>
              </w:numPr>
              <w:spacing w:before="60" w:after="60"/>
              <w:jc w:val="both"/>
            </w:pPr>
            <w:r w:rsidRPr="00B72B68">
              <w:t>Možnost rychlejšího zajištění kapacit</w:t>
            </w:r>
          </w:p>
          <w:p w:rsidR="00E42A71" w:rsidRPr="00B72B68" w:rsidRDefault="00E42A71" w:rsidP="005151F7">
            <w:pPr>
              <w:spacing w:before="60" w:after="60"/>
              <w:jc w:val="both"/>
            </w:pPr>
            <w:r w:rsidRPr="00B72B68">
              <w:t>Nevýhody / rizika:</w:t>
            </w:r>
          </w:p>
          <w:p w:rsidR="00E42A71" w:rsidRPr="00B72B68" w:rsidRDefault="00E42A71" w:rsidP="00E42A71">
            <w:pPr>
              <w:pStyle w:val="Odstavecseseznamem"/>
              <w:numPr>
                <w:ilvl w:val="0"/>
                <w:numId w:val="8"/>
              </w:numPr>
              <w:spacing w:before="60" w:after="60"/>
              <w:jc w:val="both"/>
            </w:pPr>
            <w:r w:rsidRPr="00B72B68">
              <w:t>Nezbytnost zajištění možnosti navýšení stanovených limitů odměn v rámci TA OP LZZ  pro ICT experty</w:t>
            </w:r>
          </w:p>
          <w:p w:rsidR="00E42A71" w:rsidRPr="00B72B68" w:rsidRDefault="00E42A71" w:rsidP="00E42A71">
            <w:pPr>
              <w:pStyle w:val="Odstavecseseznamem"/>
              <w:numPr>
                <w:ilvl w:val="0"/>
                <w:numId w:val="8"/>
              </w:numPr>
              <w:spacing w:before="60" w:after="60"/>
              <w:jc w:val="both"/>
            </w:pPr>
            <w:r w:rsidRPr="00B72B68">
              <w:t xml:space="preserve">Nezbytnost zajištění prostor pro pracovníky </w:t>
            </w:r>
          </w:p>
          <w:p w:rsidR="00E42A71" w:rsidRPr="00B72B68" w:rsidRDefault="00E42A71" w:rsidP="00E42A71">
            <w:pPr>
              <w:pStyle w:val="Odstavecseseznamem"/>
              <w:numPr>
                <w:ilvl w:val="0"/>
                <w:numId w:val="8"/>
              </w:numPr>
              <w:spacing w:before="60" w:after="60"/>
              <w:jc w:val="both"/>
              <w:rPr>
                <w:color w:val="FF0000"/>
              </w:rPr>
            </w:pPr>
            <w:r w:rsidRPr="00B72B68">
              <w:t>Riziko řešení koncepčních sporů, fluktuace a oslabení kapacity</w:t>
            </w:r>
          </w:p>
        </w:tc>
      </w:tr>
      <w:tr w:rsidR="00E42A71" w:rsidRPr="00B72B68" w:rsidTr="005151F7">
        <w:trPr>
          <w:trHeight w:val="826"/>
        </w:trPr>
        <w:tc>
          <w:tcPr>
            <w:tcW w:w="3794" w:type="dxa"/>
          </w:tcPr>
          <w:p w:rsidR="00E42A71" w:rsidRPr="00B72B68" w:rsidRDefault="00E42A71" w:rsidP="005151F7">
            <w:pPr>
              <w:pStyle w:val="Odstavecseseznamem"/>
              <w:spacing w:before="60" w:after="60"/>
              <w:ind w:left="0"/>
              <w:jc w:val="both"/>
            </w:pPr>
            <w:r w:rsidRPr="00B72B68">
              <w:t>Organizátor může vymezit, do jaké míry ovlivní veřejná zakázka naplnění plánovaného cíle.</w:t>
            </w:r>
          </w:p>
        </w:tc>
        <w:tc>
          <w:tcPr>
            <w:tcW w:w="5528" w:type="dxa"/>
          </w:tcPr>
          <w:p w:rsidR="00E42A71" w:rsidRPr="00B72B68" w:rsidRDefault="00E42A71" w:rsidP="005151F7">
            <w:pPr>
              <w:spacing w:before="60" w:after="60"/>
              <w:jc w:val="both"/>
              <w:rPr>
                <w:color w:val="FF0000"/>
              </w:rPr>
            </w:pPr>
            <w:r w:rsidRPr="00B72B68">
              <w:t>Veřejná zakázka má celkově zajistit tvorbu, provoz, vývoj a rozvoj integrovaného portálu esfcr.cz tak, aby byly řádně naplněny komunikační povinnosti řídicího orgánu OPZ. Zakázka naplňuje plánované cíle v plném rozsahu.</w:t>
            </w:r>
          </w:p>
        </w:tc>
      </w:tr>
      <w:tr w:rsidR="00E42A71" w:rsidRPr="00B72B68" w:rsidTr="005151F7">
        <w:tc>
          <w:tcPr>
            <w:tcW w:w="3794" w:type="dxa"/>
          </w:tcPr>
          <w:p w:rsidR="00E42A71" w:rsidRPr="00B72B68" w:rsidRDefault="00E42A71" w:rsidP="005151F7">
            <w:pPr>
              <w:pStyle w:val="Odstavecseseznamem"/>
              <w:spacing w:before="60" w:after="60"/>
              <w:ind w:left="0"/>
              <w:jc w:val="both"/>
            </w:pPr>
            <w:r w:rsidRPr="00B72B68">
              <w:t>Organizátor může uvést další informace odůvodňující účelnost veřejné zakázky.</w:t>
            </w:r>
          </w:p>
        </w:tc>
        <w:tc>
          <w:tcPr>
            <w:tcW w:w="5528" w:type="dxa"/>
          </w:tcPr>
          <w:p w:rsidR="00E42A71" w:rsidRPr="00B72B68" w:rsidRDefault="00E42A71" w:rsidP="005151F7">
            <w:pPr>
              <w:spacing w:before="60" w:after="60"/>
              <w:jc w:val="both"/>
            </w:pPr>
            <w:r w:rsidRPr="00B72B68">
              <w:t xml:space="preserve">Účelnost veřejné zakázky dále souvisí se sjednocením datového modelu stávajících webových aplikací, přičemž společný datový model v současné době neexistuje. </w:t>
            </w:r>
          </w:p>
          <w:p w:rsidR="00E42A71" w:rsidRPr="00B72B68" w:rsidRDefault="00E42A71" w:rsidP="005151F7">
            <w:pPr>
              <w:spacing w:before="60" w:after="60"/>
              <w:jc w:val="both"/>
            </w:pPr>
            <w:r w:rsidRPr="00B72B68">
              <w:t>Návrh datového modelu vyplývá z navržené funkcionality nové podoby portálu esfcr.cz. Datový model by měl zahrnovat veškeré entity, se kterými portál esfcr.cz pracuje. Nový datový model by tedy měl být určitým sjednocením datových modelů stávajících aplikací.</w:t>
            </w:r>
          </w:p>
          <w:p w:rsidR="00E42A71" w:rsidRPr="00B72B68" w:rsidRDefault="00E42A71" w:rsidP="005151F7">
            <w:pPr>
              <w:spacing w:before="60" w:after="60"/>
              <w:jc w:val="both"/>
            </w:pPr>
            <w:r w:rsidRPr="00B72B68">
              <w:t xml:space="preserve">Sjednocením datového modelu budou odstraněny duplicity v datové struktuře tam, kde se původní aplikace nyní překrývají. Zároveň může sjednocený datový model přispět k většímu provázání některých informací a tím také k rozvoji některých funkcionalit portálu, např. použití jednotné taxonomie pro kategorizaci jak příspěvků na fóru, tak informací </w:t>
            </w:r>
            <w:r w:rsidRPr="00B72B68">
              <w:lastRenderedPageBreak/>
              <w:t>o projektech publikovaných v rámci portálu.</w:t>
            </w:r>
          </w:p>
        </w:tc>
      </w:tr>
    </w:tbl>
    <w:p w:rsidR="00B72B68" w:rsidRPr="00B72B68" w:rsidRDefault="00B72B68" w:rsidP="00B72B68">
      <w:pPr>
        <w:spacing w:before="120" w:after="120"/>
        <w:ind w:left="425" w:right="23"/>
        <w:jc w:val="both"/>
        <w:rPr>
          <w:rFonts w:eastAsia="MS Mincho"/>
          <w:b/>
          <w:bCs/>
        </w:rPr>
      </w:pPr>
    </w:p>
    <w:p w:rsidR="00E42A71" w:rsidRPr="00B72B68" w:rsidRDefault="00E42A71" w:rsidP="00E42A71">
      <w:pPr>
        <w:numPr>
          <w:ilvl w:val="1"/>
          <w:numId w:val="1"/>
        </w:numPr>
        <w:spacing w:before="120" w:after="120"/>
        <w:ind w:left="425" w:right="23" w:hanging="425"/>
        <w:jc w:val="both"/>
        <w:rPr>
          <w:rFonts w:eastAsia="MS Mincho"/>
          <w:b/>
          <w:bCs/>
        </w:rPr>
      </w:pPr>
      <w:r w:rsidRPr="00B72B68">
        <w:t xml:space="preserve">Odůvodnění </w:t>
      </w:r>
      <w:r w:rsidRPr="00B72B68">
        <w:rPr>
          <w:b/>
        </w:rPr>
        <w:t>přiměřenosti požadavků na technické kvalifikační předpoklady</w:t>
      </w:r>
      <w:r w:rsidRPr="00B72B68">
        <w:rPr>
          <w:rStyle w:val="Znakapoznpodarou"/>
        </w:rPr>
        <w:footnoteReference w:id="2"/>
      </w:r>
      <w:r w:rsidRPr="00B72B68">
        <w:t>:</w:t>
      </w:r>
    </w:p>
    <w:p w:rsidR="00E42A71" w:rsidRPr="00B72B68" w:rsidRDefault="00E42A71" w:rsidP="00E42A71">
      <w:pPr>
        <w:spacing w:before="60" w:after="60"/>
        <w:jc w:val="both"/>
      </w:pPr>
      <w:r w:rsidRPr="00B72B68">
        <w:t>Zadavatel vymezil technické kvalifikační předpoklady pouze v rozsahu seznamu významných služeb a techniků, kteří se budou podílet na plnění veřejné zakázky.</w:t>
      </w:r>
    </w:p>
    <w:p w:rsidR="00E42A71" w:rsidRPr="00B72B68" w:rsidRDefault="00E42A71" w:rsidP="00E42A71">
      <w:pPr>
        <w:spacing w:before="60" w:after="60"/>
        <w:jc w:val="both"/>
      </w:pPr>
      <w:r w:rsidRPr="00B72B68">
        <w:t>Technické kvalifikační předpoklady a jejich minimální úroveň zadavatel stanovil takovým způsobem, aby byly přiměřené a odpovídaly druhu, rozsahu a složitosti konkrétního předmětu veřejné zakázky.</w:t>
      </w:r>
    </w:p>
    <w:p w:rsidR="00E42A71" w:rsidRPr="00B72B68" w:rsidRDefault="00E42A71" w:rsidP="00E42A71">
      <w:pPr>
        <w:spacing w:before="60" w:after="120"/>
        <w:jc w:val="both"/>
      </w:pPr>
      <w:r w:rsidRPr="00B72B68">
        <w:t>Účelem stanovení uvedených kvalifikačních předpokladů ze strany zadavatele je zejména zajištění výběru takového dodavatele předmětu plnění veřejné zakázky, který bude způsobilý tento předmět plnění kvalitně realizovat a poskytovat za něj odpovídající záruky.</w:t>
      </w:r>
    </w:p>
    <w:p w:rsidR="00E42A71" w:rsidRPr="00B72B68" w:rsidRDefault="00E42A71" w:rsidP="00E42A71">
      <w:pPr>
        <w:spacing w:before="60" w:after="120"/>
        <w:jc w:val="both"/>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5528"/>
      </w:tblGrid>
      <w:tr w:rsidR="00E42A71" w:rsidRPr="00B72B68" w:rsidTr="005151F7">
        <w:tc>
          <w:tcPr>
            <w:tcW w:w="9322" w:type="dxa"/>
            <w:gridSpan w:val="2"/>
          </w:tcPr>
          <w:p w:rsidR="00E42A71" w:rsidRPr="00B72B68" w:rsidRDefault="00E42A71" w:rsidP="005151F7">
            <w:pPr>
              <w:pStyle w:val="Odstavecseseznamem"/>
              <w:ind w:left="0"/>
              <w:jc w:val="center"/>
              <w:rPr>
                <w:color w:val="FF0000"/>
              </w:rPr>
            </w:pPr>
            <w:r w:rsidRPr="00B72B68">
              <w:rPr>
                <w:b/>
              </w:rPr>
              <w:t xml:space="preserve">Odůvodnění přiměřenosti požadavků na technické kvalifikační předpoklady pro plnění veřejné zakázky </w:t>
            </w:r>
            <w:r w:rsidRPr="00B72B68">
              <w:rPr>
                <w:b/>
                <w:u w:val="single"/>
              </w:rPr>
              <w:t>na služby</w:t>
            </w:r>
          </w:p>
        </w:tc>
      </w:tr>
      <w:tr w:rsidR="00E42A71" w:rsidRPr="00B72B68" w:rsidTr="005151F7">
        <w:tc>
          <w:tcPr>
            <w:tcW w:w="3794" w:type="dxa"/>
          </w:tcPr>
          <w:p w:rsidR="00E42A71" w:rsidRPr="00B72B68" w:rsidRDefault="00E42A71" w:rsidP="005151F7">
            <w:pPr>
              <w:pStyle w:val="Odstavecseseznamem"/>
              <w:spacing w:before="60" w:after="60"/>
              <w:ind w:left="0"/>
              <w:jc w:val="both"/>
              <w:rPr>
                <w:color w:val="FF0000"/>
              </w:rPr>
            </w:pPr>
            <w:r w:rsidRPr="00B72B68">
              <w:t xml:space="preserve">Odůvodnění přiměřenosti požadavků na seznam významných služeb. </w:t>
            </w:r>
          </w:p>
        </w:tc>
        <w:tc>
          <w:tcPr>
            <w:tcW w:w="5528" w:type="dxa"/>
          </w:tcPr>
          <w:p w:rsidR="00E42A71" w:rsidRPr="00B72B68" w:rsidRDefault="00E42A71" w:rsidP="005151F7">
            <w:pPr>
              <w:spacing w:before="60" w:after="60"/>
              <w:jc w:val="both"/>
              <w:rPr>
                <w:color w:val="FF0000"/>
              </w:rPr>
            </w:pPr>
            <w:r w:rsidRPr="00B72B68">
              <w:t>Zadavatel požaduje předložení seznamu významných služeb realizovaných dodavatelem v posledních třech letech s uvedením jejich rozsahu a doby poskytnutí, nicméně finanční hodnota všech významných služeb nečiní v součtu více než trojnásobek předpokládané hodnoty.</w:t>
            </w:r>
          </w:p>
        </w:tc>
      </w:tr>
      <w:tr w:rsidR="00E42A71" w:rsidRPr="00B72B68" w:rsidTr="005151F7">
        <w:tc>
          <w:tcPr>
            <w:tcW w:w="3794" w:type="dxa"/>
          </w:tcPr>
          <w:p w:rsidR="00E42A71" w:rsidRPr="00B72B68" w:rsidRDefault="00E42A71" w:rsidP="005151F7">
            <w:pPr>
              <w:pStyle w:val="Odstavecseseznamem"/>
              <w:spacing w:before="60" w:after="60"/>
              <w:ind w:left="0"/>
              <w:jc w:val="both"/>
              <w:rPr>
                <w:color w:val="FF0000"/>
              </w:rPr>
            </w:pPr>
            <w:r w:rsidRPr="00B72B68">
              <w:t xml:space="preserve">Odůvodnění přiměřenosti požadavku na předložení seznamu techniků či technických útvarů. </w:t>
            </w:r>
          </w:p>
        </w:tc>
        <w:tc>
          <w:tcPr>
            <w:tcW w:w="5528" w:type="dxa"/>
          </w:tcPr>
          <w:p w:rsidR="00E42A71" w:rsidRPr="00B72B68" w:rsidRDefault="008B0F83" w:rsidP="005151F7">
            <w:pPr>
              <w:spacing w:before="60" w:after="60"/>
              <w:jc w:val="both"/>
              <w:rPr>
                <w:color w:val="FF0000"/>
              </w:rPr>
            </w:pPr>
            <w:r w:rsidRPr="00B72B68">
              <w:t xml:space="preserve">Zadavatel požaduje </w:t>
            </w:r>
            <w:r w:rsidR="00960BBA" w:rsidRPr="00B72B68">
              <w:t>předložení seznamu týmu</w:t>
            </w:r>
            <w:r w:rsidRPr="00B72B68">
              <w:t xml:space="preserve"> pro </w:t>
            </w:r>
            <w:r w:rsidR="00960BBA" w:rsidRPr="00B72B68">
              <w:t>7 pozic</w:t>
            </w:r>
            <w:r w:rsidRPr="00B72B68">
              <w:t xml:space="preserve">. Tento požadavek je zcela přiměřený předmětu plnění a jeho náročnosti, a to jak z pohledu nároků na různorodou odbornost poskytovatele služeb tak i z pohledu celkového objemu práce, který musí být vybraným uchazečem zpracován v limitovaném čase.  </w:t>
            </w:r>
          </w:p>
        </w:tc>
      </w:tr>
      <w:tr w:rsidR="00E42A71" w:rsidRPr="00B72B68" w:rsidTr="005151F7">
        <w:tc>
          <w:tcPr>
            <w:tcW w:w="3794" w:type="dxa"/>
          </w:tcPr>
          <w:p w:rsidR="00E42A71" w:rsidRPr="00B72B68" w:rsidRDefault="00E42A71" w:rsidP="005151F7">
            <w:pPr>
              <w:pStyle w:val="Odstavecseseznamem"/>
              <w:spacing w:before="60" w:after="60"/>
              <w:ind w:left="0"/>
              <w:jc w:val="both"/>
              <w:rPr>
                <w:color w:val="FF0000"/>
              </w:rPr>
            </w:pPr>
            <w:r w:rsidRPr="00B72B68">
              <w:t>Odůvodnění přiměřenosti požadavku na předložení popisu technického vybavení a opatření používaných dodavatelem k zajištění jakosti a popis zařízení či vybavení dodavatele určeného k provádění výzkumu.</w:t>
            </w:r>
          </w:p>
        </w:tc>
        <w:tc>
          <w:tcPr>
            <w:tcW w:w="5528" w:type="dxa"/>
          </w:tcPr>
          <w:p w:rsidR="00E42A71" w:rsidRPr="00B72B68" w:rsidRDefault="00E42A71" w:rsidP="005151F7">
            <w:pPr>
              <w:spacing w:before="60" w:after="60"/>
              <w:jc w:val="both"/>
              <w:rPr>
                <w:color w:val="FF0000"/>
              </w:rPr>
            </w:pPr>
            <w:r w:rsidRPr="00B72B68">
              <w:rPr>
                <w:i/>
              </w:rPr>
              <w:t>NR</w:t>
            </w:r>
          </w:p>
        </w:tc>
      </w:tr>
      <w:tr w:rsidR="00E42A71" w:rsidRPr="00B72B68" w:rsidTr="005151F7">
        <w:tc>
          <w:tcPr>
            <w:tcW w:w="3794" w:type="dxa"/>
          </w:tcPr>
          <w:p w:rsidR="00E42A71" w:rsidRPr="00B72B68" w:rsidRDefault="00E42A71" w:rsidP="005151F7">
            <w:pPr>
              <w:pStyle w:val="Odstavecseseznamem"/>
              <w:spacing w:before="60" w:after="60"/>
              <w:ind w:left="0"/>
              <w:jc w:val="both"/>
            </w:pPr>
            <w:r w:rsidRPr="00B72B68">
              <w:t>Odůvodnění přiměřenosti požadavku na provedení kontroly technické kapacity veřejným zadavatelem nebo jinou osobou jeho jménem, případně provedení kontroly opatření týkajících se zabezpečení jakosti a výzkumu.</w:t>
            </w:r>
          </w:p>
        </w:tc>
        <w:tc>
          <w:tcPr>
            <w:tcW w:w="5528" w:type="dxa"/>
          </w:tcPr>
          <w:p w:rsidR="00E42A71" w:rsidRPr="00B72B68" w:rsidRDefault="00E42A71" w:rsidP="005151F7">
            <w:pPr>
              <w:spacing w:before="60" w:after="60"/>
              <w:jc w:val="both"/>
              <w:rPr>
                <w:color w:val="FF0000"/>
              </w:rPr>
            </w:pPr>
            <w:r w:rsidRPr="00B72B68">
              <w:rPr>
                <w:i/>
              </w:rPr>
              <w:t>NR</w:t>
            </w:r>
          </w:p>
        </w:tc>
      </w:tr>
      <w:tr w:rsidR="00E42A71" w:rsidRPr="00B72B68" w:rsidTr="005151F7">
        <w:tc>
          <w:tcPr>
            <w:tcW w:w="3794" w:type="dxa"/>
          </w:tcPr>
          <w:p w:rsidR="00E42A71" w:rsidRPr="00B72B68" w:rsidRDefault="00E42A71" w:rsidP="005151F7">
            <w:pPr>
              <w:pStyle w:val="Odstavecseseznamem"/>
              <w:spacing w:before="60" w:after="60"/>
              <w:ind w:left="0"/>
              <w:jc w:val="both"/>
            </w:pPr>
            <w:r w:rsidRPr="00B72B68">
              <w:t xml:space="preserve">Odůvodnění přiměřenosti požadavku na předložení osvědčení o vzdělání a odborné kvalifikaci dodavatele nebo </w:t>
            </w:r>
            <w:r w:rsidRPr="00B72B68">
              <w:lastRenderedPageBreak/>
              <w:t xml:space="preserve">vedoucích zaměstnanců dodavatele nebo osob v obdobném postavení a osob odpovědných za poskytování příslušných služeb. </w:t>
            </w:r>
            <w:r w:rsidRPr="00B72B68">
              <w:rPr>
                <w:i/>
              </w:rPr>
              <w:t>(Organizátor povinně vyplní, pokud požaduje předložení osvědčení o vyšším stupni vzdělání než je SŠ s maturitou, nebo osvědčení o odborné kvalifikaci delší než tři roky.)</w:t>
            </w:r>
          </w:p>
        </w:tc>
        <w:tc>
          <w:tcPr>
            <w:tcW w:w="5528" w:type="dxa"/>
          </w:tcPr>
          <w:p w:rsidR="00E42A71" w:rsidRPr="00B72B68" w:rsidRDefault="00D25A08" w:rsidP="00D25A08">
            <w:pPr>
              <w:jc w:val="both"/>
              <w:rPr>
                <w:iCs/>
              </w:rPr>
            </w:pPr>
            <w:r w:rsidRPr="00B72B68">
              <w:lastRenderedPageBreak/>
              <w:t xml:space="preserve">Zadavatel u dvou hlavních pozic v rámci týmu (projektový manažer a vývojář/ programátor informačního systému senior se zaměřením na prostředí </w:t>
            </w:r>
            <w:proofErr w:type="spellStart"/>
            <w:r w:rsidRPr="00B72B68">
              <w:t>Liferay</w:t>
            </w:r>
            <w:proofErr w:type="spellEnd"/>
            <w:r w:rsidRPr="00B72B68">
              <w:t xml:space="preserve">) požaduje praxi v délce 5 let. Tato </w:t>
            </w:r>
            <w:r w:rsidRPr="00B72B68">
              <w:lastRenderedPageBreak/>
              <w:t xml:space="preserve">délka je pro zadavatele zárukou zajištění odborně způsobilých osob na dotčené pozice. </w:t>
            </w:r>
          </w:p>
        </w:tc>
      </w:tr>
      <w:tr w:rsidR="00E42A71" w:rsidRPr="00B72B68" w:rsidTr="005151F7">
        <w:tc>
          <w:tcPr>
            <w:tcW w:w="3794" w:type="dxa"/>
          </w:tcPr>
          <w:p w:rsidR="00E42A71" w:rsidRPr="00B72B68" w:rsidRDefault="00E42A71" w:rsidP="005151F7">
            <w:pPr>
              <w:pStyle w:val="Odstavecseseznamem"/>
              <w:spacing w:before="60" w:after="60"/>
              <w:ind w:left="0"/>
              <w:jc w:val="both"/>
            </w:pPr>
            <w:r w:rsidRPr="00B72B68">
              <w:lastRenderedPageBreak/>
              <w:t>Odůvodnění přiměřenosti požadavku na předložení přehledu průměrného ročního počtu zaměstnanců dodavatele či jiných osob podílejících se na plnění zakázek podobného charakteru a počtu vedoucích zaměstnanců dodavatele nebo osob v obdobném postavení.</w:t>
            </w:r>
          </w:p>
        </w:tc>
        <w:tc>
          <w:tcPr>
            <w:tcW w:w="5528" w:type="dxa"/>
          </w:tcPr>
          <w:p w:rsidR="00E42A71" w:rsidRPr="00B72B68" w:rsidRDefault="00E42A71" w:rsidP="005151F7">
            <w:pPr>
              <w:spacing w:before="60" w:after="60"/>
              <w:jc w:val="both"/>
              <w:rPr>
                <w:i/>
              </w:rPr>
            </w:pPr>
            <w:r w:rsidRPr="00B72B68">
              <w:rPr>
                <w:i/>
              </w:rPr>
              <w:t>NR</w:t>
            </w:r>
          </w:p>
          <w:p w:rsidR="00E42A71" w:rsidRPr="00B72B68" w:rsidRDefault="00E42A71" w:rsidP="005151F7">
            <w:pPr>
              <w:spacing w:before="60" w:after="60"/>
              <w:jc w:val="both"/>
              <w:rPr>
                <w:i/>
              </w:rPr>
            </w:pPr>
          </w:p>
          <w:p w:rsidR="00E42A71" w:rsidRPr="00B72B68" w:rsidRDefault="00E42A71" w:rsidP="005151F7">
            <w:pPr>
              <w:spacing w:before="60" w:after="60"/>
              <w:jc w:val="both"/>
              <w:rPr>
                <w:color w:val="FF0000"/>
              </w:rPr>
            </w:pPr>
          </w:p>
        </w:tc>
      </w:tr>
      <w:tr w:rsidR="00E42A71" w:rsidRPr="00B72B68" w:rsidTr="005151F7">
        <w:tc>
          <w:tcPr>
            <w:tcW w:w="3794" w:type="dxa"/>
          </w:tcPr>
          <w:p w:rsidR="00E42A71" w:rsidRPr="00B72B68" w:rsidRDefault="00E42A71" w:rsidP="005151F7">
            <w:pPr>
              <w:pStyle w:val="Odstavecseseznamem"/>
              <w:spacing w:before="60" w:after="60"/>
              <w:ind w:left="0"/>
              <w:jc w:val="both"/>
            </w:pPr>
            <w:r w:rsidRPr="00B72B68">
              <w:t>Odůvodnění přiměřenosti požadavku na předložení přehledu nástrojů či pomůcek, provozních a technických zařízení, které bude mít dodavatel při plnění veřejné zakázky k dispozici.</w:t>
            </w:r>
          </w:p>
        </w:tc>
        <w:tc>
          <w:tcPr>
            <w:tcW w:w="5528" w:type="dxa"/>
          </w:tcPr>
          <w:p w:rsidR="00E42A71" w:rsidRPr="00B72B68" w:rsidRDefault="00E42A71" w:rsidP="005151F7">
            <w:pPr>
              <w:spacing w:before="60" w:after="60"/>
              <w:jc w:val="both"/>
              <w:rPr>
                <w:color w:val="FF0000"/>
              </w:rPr>
            </w:pPr>
            <w:r w:rsidRPr="00B72B68">
              <w:t>NR</w:t>
            </w:r>
          </w:p>
        </w:tc>
      </w:tr>
    </w:tbl>
    <w:p w:rsidR="00B72B68" w:rsidRPr="00B72B68" w:rsidRDefault="00B72B68" w:rsidP="00B72B68">
      <w:pPr>
        <w:spacing w:before="120" w:after="120"/>
        <w:ind w:left="425" w:right="23"/>
        <w:jc w:val="both"/>
        <w:rPr>
          <w:rFonts w:eastAsia="MS Mincho"/>
          <w:b/>
          <w:bCs/>
        </w:rPr>
      </w:pPr>
    </w:p>
    <w:p w:rsidR="00E42A71" w:rsidRPr="00B72B68" w:rsidRDefault="00E42A71" w:rsidP="00E42A71">
      <w:pPr>
        <w:numPr>
          <w:ilvl w:val="1"/>
          <w:numId w:val="1"/>
        </w:numPr>
        <w:spacing w:before="120" w:after="120"/>
        <w:ind w:left="425" w:right="23" w:hanging="425"/>
        <w:jc w:val="both"/>
        <w:rPr>
          <w:rFonts w:eastAsia="MS Mincho"/>
          <w:b/>
          <w:bCs/>
        </w:rPr>
      </w:pPr>
      <w:r w:rsidRPr="00B72B68">
        <w:t xml:space="preserve">Odůvodnění </w:t>
      </w:r>
      <w:r w:rsidRPr="00B72B68">
        <w:rPr>
          <w:b/>
        </w:rPr>
        <w:t>vymezení obchodních a technických podmínek</w:t>
      </w:r>
      <w:r w:rsidRPr="00B72B68">
        <w:t xml:space="preserve"> veřejné zakázky ve vztahu k potřebám zadavatele a k rizikům souvisejícím s plněním veřejné zakázky:</w:t>
      </w:r>
    </w:p>
    <w:p w:rsidR="00E42A71" w:rsidRPr="00B72B68" w:rsidRDefault="00E42A71" w:rsidP="00E42A71">
      <w:pPr>
        <w:spacing w:before="60" w:after="60"/>
        <w:jc w:val="both"/>
      </w:pPr>
      <w:r w:rsidRPr="00B72B68">
        <w:t>Zadavatel vymezil obchodní podmínky návrhem smlouvy, který obsahuje standartní ustanovení dle zákona č. 513/1991 Sb., obchodní zákoník, ve znění pozdějších předpisů a zákona č. 121/2000 Sb., o právu autorském, o právech souvisejících s právem autorským a o změně některých zákonů (autorský zákon), ve znění pozdějších předpisů.</w:t>
      </w:r>
    </w:p>
    <w:p w:rsidR="00E42A71" w:rsidRPr="00B72B68" w:rsidRDefault="00E42A71" w:rsidP="00E42A71">
      <w:pPr>
        <w:spacing w:before="60" w:after="60"/>
        <w:jc w:val="both"/>
      </w:pPr>
      <w:r w:rsidRPr="00B72B68">
        <w:t>Návrh smlouvy neobsahuje žádné nepřiměřené obchodní podmínky, které by omezovaly potenciální okruh dodavatelů.</w:t>
      </w:r>
    </w:p>
    <w:p w:rsidR="00E42A71" w:rsidRPr="00B72B68" w:rsidRDefault="00E42A71" w:rsidP="00E42A71">
      <w:pPr>
        <w:spacing w:before="60" w:after="120"/>
        <w:jc w:val="both"/>
      </w:pPr>
      <w:r w:rsidRPr="00B72B68">
        <w:t>Fakturace bude probíhat měsíčně na základě dílčích plnění s dobou splatnosti faktur 30 dnů od jejich doručení zadavateli. Zadavatel nepožaduje žádné bankovní záruky a limit pojištění odpovědnosti za škodu způsobenou dodavatelem třetím osobám byl zadavatelem stanoven ve výši menší než jedna třetina předpokládané hodnoty.</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5528"/>
      </w:tblGrid>
      <w:tr w:rsidR="00E42A71" w:rsidRPr="00B72B68" w:rsidTr="005151F7">
        <w:tc>
          <w:tcPr>
            <w:tcW w:w="9322" w:type="dxa"/>
            <w:gridSpan w:val="2"/>
          </w:tcPr>
          <w:p w:rsidR="00E42A71" w:rsidRPr="00B72B68" w:rsidRDefault="00E42A71" w:rsidP="005151F7">
            <w:pPr>
              <w:jc w:val="center"/>
              <w:rPr>
                <w:color w:val="FF0000"/>
              </w:rPr>
            </w:pPr>
            <w:r w:rsidRPr="00B72B68">
              <w:rPr>
                <w:b/>
              </w:rPr>
              <w:t xml:space="preserve">Odůvodnění vymezení </w:t>
            </w:r>
            <w:r w:rsidRPr="00B72B68">
              <w:rPr>
                <w:b/>
                <w:u w:val="single"/>
              </w:rPr>
              <w:t>obchodních</w:t>
            </w:r>
            <w:r w:rsidRPr="00B72B68">
              <w:rPr>
                <w:b/>
              </w:rPr>
              <w:t xml:space="preserve"> podmínek veřejné zakázky </w:t>
            </w:r>
            <w:r w:rsidRPr="00B72B68">
              <w:rPr>
                <w:b/>
                <w:u w:val="single"/>
              </w:rPr>
              <w:t>na dodávky</w:t>
            </w:r>
            <w:r w:rsidRPr="00B72B68">
              <w:rPr>
                <w:b/>
              </w:rPr>
              <w:t xml:space="preserve"> a veřejné zakázky </w:t>
            </w:r>
            <w:r w:rsidRPr="00B72B68">
              <w:rPr>
                <w:b/>
                <w:u w:val="single"/>
              </w:rPr>
              <w:t>na služby</w:t>
            </w:r>
            <w:r w:rsidRPr="00B72B68">
              <w:rPr>
                <w:rStyle w:val="Znakapoznpodarou"/>
                <w:b/>
                <w:u w:val="single"/>
              </w:rPr>
              <w:footnoteReference w:id="3"/>
            </w:r>
          </w:p>
        </w:tc>
      </w:tr>
      <w:tr w:rsidR="00E42A71" w:rsidRPr="00B72B68" w:rsidTr="005151F7">
        <w:tc>
          <w:tcPr>
            <w:tcW w:w="3794" w:type="dxa"/>
          </w:tcPr>
          <w:p w:rsidR="00E42A71" w:rsidRPr="00B72B68" w:rsidRDefault="00E42A71" w:rsidP="005151F7">
            <w:pPr>
              <w:pStyle w:val="Odstavecseseznamem"/>
              <w:spacing w:before="60" w:after="60"/>
              <w:ind w:left="0"/>
              <w:jc w:val="both"/>
            </w:pPr>
            <w:r w:rsidRPr="00B72B68">
              <w:t>Odůvodnění vymezení obchodní podmínky stanovící delší lhůtu splatnosti faktur než 30 dnů od data vystavení faktury.</w:t>
            </w:r>
          </w:p>
        </w:tc>
        <w:tc>
          <w:tcPr>
            <w:tcW w:w="5528" w:type="dxa"/>
          </w:tcPr>
          <w:p w:rsidR="00E42A71" w:rsidRPr="00B72B68" w:rsidRDefault="00E42A71" w:rsidP="005151F7">
            <w:pPr>
              <w:pStyle w:val="Odstavecseseznamem"/>
              <w:ind w:left="0"/>
              <w:rPr>
                <w:i/>
                <w:color w:val="FF0000"/>
              </w:rPr>
            </w:pPr>
            <w:r w:rsidRPr="00B72B68">
              <w:rPr>
                <w:i/>
              </w:rPr>
              <w:t>NR</w:t>
            </w:r>
          </w:p>
        </w:tc>
      </w:tr>
      <w:tr w:rsidR="00E42A71" w:rsidRPr="00B72B68" w:rsidTr="005151F7">
        <w:tc>
          <w:tcPr>
            <w:tcW w:w="3794" w:type="dxa"/>
          </w:tcPr>
          <w:p w:rsidR="00E42A71" w:rsidRPr="00B72B68" w:rsidRDefault="00E42A71" w:rsidP="005151F7">
            <w:pPr>
              <w:pStyle w:val="Odstavecseseznamem"/>
              <w:spacing w:before="60" w:after="60"/>
              <w:ind w:left="0"/>
              <w:jc w:val="both"/>
            </w:pPr>
            <w:r w:rsidRPr="00B72B68">
              <w:t xml:space="preserve">Odůvodnění vymezení obchodní </w:t>
            </w:r>
            <w:r w:rsidRPr="00B72B68">
              <w:lastRenderedPageBreak/>
              <w:t>podmínky stanovící požadavek na pojištění odpovědnosti za škodu způsobenou dodavatelem třetím osobám ve výši přesahující dvojnásobek předpokládané hodnoty veřejné zakázky.</w:t>
            </w:r>
          </w:p>
        </w:tc>
        <w:tc>
          <w:tcPr>
            <w:tcW w:w="5528" w:type="dxa"/>
          </w:tcPr>
          <w:p w:rsidR="00E42A71" w:rsidRPr="00B72B68" w:rsidRDefault="00E42A71" w:rsidP="005151F7">
            <w:pPr>
              <w:pStyle w:val="Odstavecseseznamem"/>
              <w:ind w:left="0"/>
              <w:rPr>
                <w:color w:val="FF0000"/>
              </w:rPr>
            </w:pPr>
            <w:r w:rsidRPr="00B72B68">
              <w:rPr>
                <w:i/>
              </w:rPr>
              <w:lastRenderedPageBreak/>
              <w:t>NR</w:t>
            </w:r>
          </w:p>
        </w:tc>
      </w:tr>
      <w:tr w:rsidR="00E42A71" w:rsidRPr="00B72B68" w:rsidTr="005151F7">
        <w:tc>
          <w:tcPr>
            <w:tcW w:w="3794" w:type="dxa"/>
          </w:tcPr>
          <w:p w:rsidR="00E42A71" w:rsidRPr="00B72B68" w:rsidRDefault="00E42A71" w:rsidP="005151F7">
            <w:pPr>
              <w:pStyle w:val="Odstavecseseznamem"/>
              <w:spacing w:before="60" w:after="60"/>
              <w:ind w:left="0"/>
              <w:jc w:val="both"/>
            </w:pPr>
            <w:r w:rsidRPr="00B72B68">
              <w:lastRenderedPageBreak/>
              <w:t>Odůvodnění vymezení obchodní podmínky stanovící požadavek bankovní záruky vyšší než je 5 % ceny veřejné zakázky.</w:t>
            </w:r>
          </w:p>
        </w:tc>
        <w:tc>
          <w:tcPr>
            <w:tcW w:w="5528" w:type="dxa"/>
          </w:tcPr>
          <w:p w:rsidR="00E42A71" w:rsidRPr="00B72B68" w:rsidRDefault="00E42A71" w:rsidP="005151F7">
            <w:pPr>
              <w:pStyle w:val="Odstavecseseznamem"/>
              <w:ind w:left="0"/>
              <w:rPr>
                <w:color w:val="FF0000"/>
              </w:rPr>
            </w:pPr>
            <w:r w:rsidRPr="00B72B68">
              <w:rPr>
                <w:i/>
              </w:rPr>
              <w:t>NR</w:t>
            </w:r>
          </w:p>
        </w:tc>
      </w:tr>
      <w:tr w:rsidR="00E42A71" w:rsidRPr="00B72B68" w:rsidTr="005151F7">
        <w:tc>
          <w:tcPr>
            <w:tcW w:w="3794" w:type="dxa"/>
          </w:tcPr>
          <w:p w:rsidR="00E42A71" w:rsidRPr="00B72B68" w:rsidRDefault="00E42A71" w:rsidP="005151F7">
            <w:pPr>
              <w:pStyle w:val="Odstavecseseznamem"/>
              <w:spacing w:before="60" w:after="60"/>
              <w:ind w:left="0"/>
              <w:jc w:val="both"/>
            </w:pPr>
            <w:r w:rsidRPr="00B72B68">
              <w:t>Odůvodnění vymezení obchodní podmínky stanovící požadavek záruční lhůtu delší než 24 měsíců.</w:t>
            </w:r>
          </w:p>
        </w:tc>
        <w:tc>
          <w:tcPr>
            <w:tcW w:w="5528" w:type="dxa"/>
          </w:tcPr>
          <w:p w:rsidR="00E42A71" w:rsidRPr="00B72B68" w:rsidRDefault="00E42A71" w:rsidP="005151F7">
            <w:pPr>
              <w:pStyle w:val="Odstavecseseznamem"/>
              <w:ind w:left="0"/>
              <w:rPr>
                <w:color w:val="FF0000"/>
              </w:rPr>
            </w:pPr>
            <w:r w:rsidRPr="00B72B68">
              <w:rPr>
                <w:i/>
              </w:rPr>
              <w:t>NR</w:t>
            </w:r>
          </w:p>
        </w:tc>
      </w:tr>
      <w:tr w:rsidR="00E42A71" w:rsidRPr="00B72B68" w:rsidTr="005151F7">
        <w:tc>
          <w:tcPr>
            <w:tcW w:w="3794" w:type="dxa"/>
          </w:tcPr>
          <w:p w:rsidR="00E42A71" w:rsidRPr="00B72B68" w:rsidRDefault="00E42A71" w:rsidP="005151F7">
            <w:pPr>
              <w:pStyle w:val="Odstavecseseznamem"/>
              <w:spacing w:before="60" w:after="60"/>
              <w:ind w:left="0"/>
              <w:jc w:val="both"/>
            </w:pPr>
            <w:r w:rsidRPr="00B72B68">
              <w:t>Odůvodnění vymezení obchodní podmínky stanovící smluvní pokutu za prodlení dodavatele vyšší než 0,2 % z předpokládané hodnoty veřejné zakázky za každý den prodlení.</w:t>
            </w:r>
          </w:p>
        </w:tc>
        <w:tc>
          <w:tcPr>
            <w:tcW w:w="5528" w:type="dxa"/>
          </w:tcPr>
          <w:p w:rsidR="00E42A71" w:rsidRPr="00B72B68" w:rsidRDefault="00E42A71" w:rsidP="005151F7">
            <w:pPr>
              <w:pStyle w:val="Odstavecseseznamem"/>
              <w:ind w:left="0"/>
              <w:rPr>
                <w:color w:val="FF0000"/>
              </w:rPr>
            </w:pPr>
            <w:r w:rsidRPr="00B72B68">
              <w:rPr>
                <w:i/>
              </w:rPr>
              <w:t>NR</w:t>
            </w:r>
          </w:p>
        </w:tc>
      </w:tr>
      <w:tr w:rsidR="00E42A71" w:rsidRPr="00B72B68" w:rsidTr="005151F7">
        <w:tc>
          <w:tcPr>
            <w:tcW w:w="3794" w:type="dxa"/>
          </w:tcPr>
          <w:p w:rsidR="00E42A71" w:rsidRPr="00B72B68" w:rsidRDefault="00E42A71" w:rsidP="005151F7">
            <w:pPr>
              <w:pStyle w:val="Odstavecseseznamem"/>
              <w:spacing w:before="60" w:after="60"/>
              <w:ind w:left="0"/>
              <w:jc w:val="both"/>
            </w:pPr>
            <w:r w:rsidRPr="00B72B68">
              <w:t>Odůvodnění vymezení obchodní podmínky stanovící smluvní pokutu za prodlení zadavatele s úhradou faktur vyšší než 0,05 % z dlužné částky za každý den prodlení.</w:t>
            </w:r>
          </w:p>
        </w:tc>
        <w:tc>
          <w:tcPr>
            <w:tcW w:w="5528" w:type="dxa"/>
          </w:tcPr>
          <w:p w:rsidR="00E42A71" w:rsidRPr="00B72B68" w:rsidRDefault="00E42A71" w:rsidP="005151F7">
            <w:pPr>
              <w:pStyle w:val="Odstavecseseznamem"/>
              <w:spacing w:after="120" w:line="280" w:lineRule="atLeast"/>
              <w:ind w:left="0"/>
              <w:jc w:val="both"/>
            </w:pPr>
            <w:r w:rsidRPr="00B72B68">
              <w:t xml:space="preserve">Zadavatel nepožaduje. </w:t>
            </w:r>
          </w:p>
          <w:p w:rsidR="00E42A71" w:rsidRPr="00B72B68" w:rsidRDefault="00E42A71" w:rsidP="005151F7">
            <w:pPr>
              <w:pStyle w:val="Odstavecseseznamem"/>
              <w:ind w:left="0"/>
              <w:jc w:val="both"/>
              <w:rPr>
                <w:color w:val="FF0000"/>
              </w:rPr>
            </w:pPr>
            <w:r w:rsidRPr="00B72B68">
              <w:t>Uvedené se řídí</w:t>
            </w:r>
            <w:r w:rsidRPr="00B72B68">
              <w:rPr>
                <w:color w:val="FF0000"/>
              </w:rPr>
              <w:t xml:space="preserve"> </w:t>
            </w:r>
            <w:r w:rsidRPr="00B72B68">
              <w:t>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tc>
      </w:tr>
      <w:tr w:rsidR="00E42A71" w:rsidRPr="00B72B68" w:rsidTr="005151F7">
        <w:tc>
          <w:tcPr>
            <w:tcW w:w="3794" w:type="dxa"/>
          </w:tcPr>
          <w:p w:rsidR="00E42A71" w:rsidRPr="00B72B68" w:rsidRDefault="00E42A71" w:rsidP="005151F7">
            <w:pPr>
              <w:pStyle w:val="Odstavecseseznamem"/>
              <w:spacing w:before="60" w:after="60"/>
              <w:ind w:left="0"/>
              <w:jc w:val="both"/>
            </w:pPr>
            <w:r w:rsidRPr="00B72B68">
              <w:t>Odůvodnění vymezení dalších obchodních podmínek, pokud v zadávací dokumentaci budou vymezeny i jiné obchodní podmínky než jsou výše uvedeny.</w:t>
            </w:r>
          </w:p>
        </w:tc>
        <w:tc>
          <w:tcPr>
            <w:tcW w:w="5528" w:type="dxa"/>
          </w:tcPr>
          <w:p w:rsidR="00E42A71" w:rsidRPr="00B72B68" w:rsidRDefault="00E42A71" w:rsidP="005151F7">
            <w:pPr>
              <w:pStyle w:val="Odstavecseseznamem"/>
              <w:ind w:left="0"/>
              <w:jc w:val="both"/>
              <w:rPr>
                <w:color w:val="FF0000"/>
              </w:rPr>
            </w:pPr>
            <w:r w:rsidRPr="00B72B68">
              <w:t>Zadavatel uvádí, že všechny jím vymezené obchodní podmínky jsou v souladu s právním řádem České republiky. Zadavatel dále uvádí, že obchodní podmínky této veřejné zakázky jsou z jeho strany vymezeny jako závazný vzor smlouvy s tím, že příslušné obchodní podmínky jsou stanoveny zcela standardně a na základě jeho zkušenosti s obdobnými projekty, ve kterých se tyto obchodní podmínky osvědčily.</w:t>
            </w:r>
          </w:p>
        </w:tc>
      </w:tr>
    </w:tbl>
    <w:p w:rsidR="00E42A71" w:rsidRPr="00B72B68" w:rsidRDefault="00E42A71" w:rsidP="00E42A71">
      <w:pPr>
        <w:spacing w:after="120"/>
        <w:ind w:right="22"/>
        <w:jc w:val="both"/>
        <w:rPr>
          <w:rFonts w:eastAsia="MS Mincho"/>
          <w:b/>
          <w:bCs/>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953"/>
      </w:tblGrid>
      <w:tr w:rsidR="00E42A71" w:rsidRPr="00B72B68" w:rsidTr="00F23FA3">
        <w:tc>
          <w:tcPr>
            <w:tcW w:w="9322" w:type="dxa"/>
            <w:gridSpan w:val="2"/>
          </w:tcPr>
          <w:p w:rsidR="00E42A71" w:rsidRPr="00B72B68" w:rsidRDefault="00E42A71" w:rsidP="005151F7">
            <w:pPr>
              <w:jc w:val="center"/>
              <w:rPr>
                <w:color w:val="FF0000"/>
              </w:rPr>
            </w:pPr>
            <w:r w:rsidRPr="00B72B68">
              <w:rPr>
                <w:b/>
              </w:rPr>
              <w:t xml:space="preserve">Odůvodnění vymezení </w:t>
            </w:r>
            <w:r w:rsidRPr="00B72B68">
              <w:rPr>
                <w:b/>
                <w:u w:val="single"/>
              </w:rPr>
              <w:t>technických</w:t>
            </w:r>
            <w:r w:rsidRPr="00B72B68">
              <w:rPr>
                <w:b/>
              </w:rPr>
              <w:t xml:space="preserve"> podmínek veřejné zakázky ve vztahu k potřebám zadavatele</w:t>
            </w:r>
            <w:r w:rsidRPr="00B72B68">
              <w:rPr>
                <w:rStyle w:val="Znakapoznpodarou"/>
                <w:b/>
              </w:rPr>
              <w:footnoteReference w:id="4"/>
            </w:r>
          </w:p>
        </w:tc>
      </w:tr>
      <w:tr w:rsidR="00E42A71" w:rsidRPr="00B72B68" w:rsidTr="00F23FA3">
        <w:tc>
          <w:tcPr>
            <w:tcW w:w="3369" w:type="dxa"/>
          </w:tcPr>
          <w:p w:rsidR="00E42A71" w:rsidRPr="00B72B68" w:rsidRDefault="00E42A71" w:rsidP="005151F7">
            <w:pPr>
              <w:jc w:val="center"/>
              <w:rPr>
                <w:b/>
              </w:rPr>
            </w:pPr>
            <w:r w:rsidRPr="00B72B68">
              <w:rPr>
                <w:b/>
              </w:rPr>
              <w:t>Technická podmínka</w:t>
            </w:r>
          </w:p>
        </w:tc>
        <w:tc>
          <w:tcPr>
            <w:tcW w:w="5953" w:type="dxa"/>
          </w:tcPr>
          <w:p w:rsidR="00E42A71" w:rsidRPr="00B72B68" w:rsidRDefault="00E42A71" w:rsidP="005151F7">
            <w:pPr>
              <w:jc w:val="center"/>
              <w:rPr>
                <w:b/>
              </w:rPr>
            </w:pPr>
            <w:r w:rsidRPr="00B72B68">
              <w:rPr>
                <w:b/>
              </w:rPr>
              <w:t>Odůvodnění technické podmínky</w:t>
            </w:r>
          </w:p>
        </w:tc>
      </w:tr>
      <w:tr w:rsidR="00E42A71" w:rsidRPr="00B72B68" w:rsidTr="00F23FA3">
        <w:trPr>
          <w:trHeight w:val="341"/>
        </w:trPr>
        <w:tc>
          <w:tcPr>
            <w:tcW w:w="3369" w:type="dxa"/>
          </w:tcPr>
          <w:p w:rsidR="00E42A71" w:rsidRPr="00B72B68" w:rsidRDefault="00E42A71" w:rsidP="005151F7">
            <w:pPr>
              <w:pStyle w:val="Odstavecseseznamem"/>
              <w:spacing w:before="60" w:after="60"/>
              <w:ind w:left="0"/>
              <w:rPr>
                <w:color w:val="FF0000"/>
              </w:rPr>
            </w:pPr>
            <w:r w:rsidRPr="00B72B68">
              <w:t xml:space="preserve">Odůvodnění přiměřenosti požadavku na předložení přehledu nástrojů či pomůcek, </w:t>
            </w:r>
            <w:r w:rsidRPr="00B72B68">
              <w:lastRenderedPageBreak/>
              <w:t>provozních a technických zařízení, které bude mít dodavatel při plnění veřejné zakázky k dispozici.</w:t>
            </w:r>
          </w:p>
        </w:tc>
        <w:tc>
          <w:tcPr>
            <w:tcW w:w="5953" w:type="dxa"/>
          </w:tcPr>
          <w:p w:rsidR="00E42A71" w:rsidRPr="00B72B68" w:rsidRDefault="00E42A71" w:rsidP="005151F7">
            <w:pPr>
              <w:pStyle w:val="Odstavecseseznamem"/>
              <w:spacing w:before="60" w:after="60"/>
              <w:ind w:left="0"/>
              <w:jc w:val="both"/>
              <w:rPr>
                <w:color w:val="FF0000"/>
              </w:rPr>
            </w:pPr>
            <w:r w:rsidRPr="00B72B68">
              <w:lastRenderedPageBreak/>
              <w:t xml:space="preserve">Je třeba zajistit kompatibilitu zařízení dodavatele v návaznosti na požadavky společného technologického rámce a systémového integrátora, aby mohla být zajištěna </w:t>
            </w:r>
            <w:r w:rsidRPr="00B72B68">
              <w:lastRenderedPageBreak/>
              <w:t>bezproblémová funkčnost a kompatibilita všech funkčních částí integrovaného portálu esfcr.cz.</w:t>
            </w:r>
            <w:r w:rsidR="009049BB" w:rsidRPr="00B72B68">
              <w:t xml:space="preserve"> Zadavatel stanovil technické podmínky veřejné zakázky objektivně a jednoznačně způsobem vyjadřujícím účel využití požadovaného plnění.</w:t>
            </w:r>
          </w:p>
        </w:tc>
      </w:tr>
    </w:tbl>
    <w:p w:rsidR="00B72B68" w:rsidRPr="00B72B68" w:rsidRDefault="00B72B68" w:rsidP="00B72B68">
      <w:pPr>
        <w:spacing w:before="120" w:after="120"/>
        <w:ind w:left="425" w:right="23"/>
        <w:jc w:val="both"/>
        <w:rPr>
          <w:rFonts w:eastAsia="MS Mincho"/>
          <w:b/>
          <w:bCs/>
        </w:rPr>
      </w:pPr>
    </w:p>
    <w:p w:rsidR="00E42A71" w:rsidRPr="00B72B68" w:rsidRDefault="00E42A71" w:rsidP="00E42A71">
      <w:pPr>
        <w:numPr>
          <w:ilvl w:val="1"/>
          <w:numId w:val="1"/>
        </w:numPr>
        <w:spacing w:before="120" w:after="120"/>
        <w:ind w:left="425" w:right="23" w:hanging="425"/>
        <w:jc w:val="both"/>
        <w:rPr>
          <w:rFonts w:eastAsia="MS Mincho"/>
          <w:b/>
          <w:bCs/>
        </w:rPr>
      </w:pPr>
      <w:r w:rsidRPr="00B72B68">
        <w:t xml:space="preserve">Odůvodnění </w:t>
      </w:r>
      <w:r w:rsidRPr="00B72B68">
        <w:rPr>
          <w:b/>
        </w:rPr>
        <w:t>stanovení základních a dílčích hodnotících kritérií a způsobu hodnocení nabídek</w:t>
      </w:r>
      <w:r w:rsidRPr="00B72B68">
        <w:t xml:space="preserve"> ve vztahu k potřebám zadavatele:</w:t>
      </w:r>
    </w:p>
    <w:p w:rsidR="00E42A71" w:rsidRPr="00B72B68" w:rsidRDefault="00E42A71" w:rsidP="00E42A71">
      <w:pPr>
        <w:pStyle w:val="Odstavecseseznamem"/>
        <w:spacing w:before="60" w:after="120"/>
        <w:ind w:left="0"/>
        <w:jc w:val="both"/>
      </w:pPr>
      <w:r w:rsidRPr="00B72B68">
        <w:t xml:space="preserve">Zadavatel stanovil hodnotící kritéria s ohledem na složitost konkrétního předmětu veřejné zakázky a zejména z důvodu naplnění požadavku na maximální hospodárnost veřejné zakázky.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843"/>
      </w:tblGrid>
      <w:tr w:rsidR="00E42A71" w:rsidRPr="00B72B68" w:rsidTr="005151F7">
        <w:tc>
          <w:tcPr>
            <w:tcW w:w="9212" w:type="dxa"/>
            <w:gridSpan w:val="2"/>
          </w:tcPr>
          <w:p w:rsidR="00E42A71" w:rsidRPr="00B72B68" w:rsidRDefault="00E42A71" w:rsidP="005151F7">
            <w:pPr>
              <w:jc w:val="center"/>
              <w:rPr>
                <w:b/>
              </w:rPr>
            </w:pPr>
            <w:r w:rsidRPr="00B72B68">
              <w:rPr>
                <w:b/>
              </w:rPr>
              <w:t>Odůvodnění stanovení základních a dílčích hodnotících kritérií ve vztahu k potřebám veřejného zadavatele</w:t>
            </w:r>
          </w:p>
        </w:tc>
      </w:tr>
      <w:tr w:rsidR="00E42A71" w:rsidRPr="00B72B68" w:rsidTr="005151F7">
        <w:tc>
          <w:tcPr>
            <w:tcW w:w="3369" w:type="dxa"/>
          </w:tcPr>
          <w:p w:rsidR="00E42A71" w:rsidRPr="00B72B68" w:rsidRDefault="00E42A71" w:rsidP="005151F7">
            <w:pPr>
              <w:jc w:val="center"/>
              <w:rPr>
                <w:b/>
              </w:rPr>
            </w:pPr>
            <w:r w:rsidRPr="00B72B68">
              <w:rPr>
                <w:b/>
              </w:rPr>
              <w:t xml:space="preserve">Hodnotící kritérium </w:t>
            </w:r>
          </w:p>
        </w:tc>
        <w:tc>
          <w:tcPr>
            <w:tcW w:w="5843" w:type="dxa"/>
          </w:tcPr>
          <w:p w:rsidR="00E42A71" w:rsidRPr="00B72B68" w:rsidRDefault="00E42A71" w:rsidP="005151F7">
            <w:pPr>
              <w:jc w:val="center"/>
              <w:rPr>
                <w:b/>
              </w:rPr>
            </w:pPr>
            <w:r w:rsidRPr="00B72B68">
              <w:rPr>
                <w:b/>
              </w:rPr>
              <w:t xml:space="preserve">Odůvodnění </w:t>
            </w:r>
          </w:p>
        </w:tc>
      </w:tr>
      <w:tr w:rsidR="00E42A71" w:rsidRPr="00B72B68" w:rsidTr="005151F7">
        <w:tc>
          <w:tcPr>
            <w:tcW w:w="3369" w:type="dxa"/>
          </w:tcPr>
          <w:p w:rsidR="00E42A71" w:rsidRPr="00B72B68" w:rsidRDefault="00E42A71" w:rsidP="005151F7">
            <w:pPr>
              <w:pStyle w:val="Odstavecseseznamem"/>
              <w:ind w:left="0"/>
              <w:rPr>
                <w:b/>
                <w:color w:val="FF0000"/>
              </w:rPr>
            </w:pPr>
            <w:r w:rsidRPr="00B72B68">
              <w:rPr>
                <w:b/>
              </w:rPr>
              <w:t>Nejnižší nabídková cena</w:t>
            </w:r>
          </w:p>
        </w:tc>
        <w:tc>
          <w:tcPr>
            <w:tcW w:w="5843" w:type="dxa"/>
          </w:tcPr>
          <w:p w:rsidR="00E42A71" w:rsidRPr="00B72B68" w:rsidRDefault="00E42A71" w:rsidP="005151F7">
            <w:pPr>
              <w:tabs>
                <w:tab w:val="left" w:pos="284"/>
              </w:tabs>
              <w:spacing w:line="280" w:lineRule="atLeast"/>
              <w:jc w:val="both"/>
            </w:pPr>
            <w:r w:rsidRPr="00B72B68">
              <w:t xml:space="preserve">Jediným kritériem hodnocení je nejnižší nabídková cena dle § 78 odst. 1 písm. b) zákona. Veškeré požadavky na předmět plnění zadavatel vymezil v zadávacích podmínkách a rovněž ve vzoru smlouvy. </w:t>
            </w:r>
          </w:p>
          <w:p w:rsidR="00E42A71" w:rsidRPr="00B72B68" w:rsidRDefault="00E42A71" w:rsidP="005151F7">
            <w:pPr>
              <w:pStyle w:val="Odstavecseseznamem"/>
              <w:spacing w:before="60" w:after="60"/>
              <w:ind w:left="0"/>
              <w:jc w:val="both"/>
            </w:pPr>
            <w:r w:rsidRPr="00B72B68">
              <w:t>Jedná se o nákladové kvantitativní kritérium, u něhož jsou preferovány nižší hodnoty před vyššími. Kvalita zakázky je řešena zejména prostřednictvím požadované kvalifikace, která nebude hodnocena, ale všichni uchazeči ji musí splnit.</w:t>
            </w:r>
          </w:p>
        </w:tc>
      </w:tr>
    </w:tbl>
    <w:p w:rsidR="00E42A71" w:rsidRPr="00B72B68" w:rsidRDefault="00E42A71" w:rsidP="00E42A71">
      <w:pPr>
        <w:spacing w:after="12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843"/>
      </w:tblGrid>
      <w:tr w:rsidR="00E42A71" w:rsidRPr="00B72B68" w:rsidTr="005151F7">
        <w:tc>
          <w:tcPr>
            <w:tcW w:w="9212" w:type="dxa"/>
            <w:gridSpan w:val="2"/>
          </w:tcPr>
          <w:p w:rsidR="00E42A71" w:rsidRPr="00B72B68" w:rsidRDefault="00E42A71" w:rsidP="005151F7">
            <w:pPr>
              <w:jc w:val="center"/>
              <w:rPr>
                <w:b/>
              </w:rPr>
            </w:pPr>
            <w:r w:rsidRPr="00B72B68">
              <w:rPr>
                <w:b/>
              </w:rPr>
              <w:t>Odůvodnění předpokládané hodnoty veřejné zakázky</w:t>
            </w:r>
            <w:r w:rsidRPr="00B72B68">
              <w:rPr>
                <w:rStyle w:val="Znakapoznpodarou"/>
                <w:b/>
              </w:rPr>
              <w:footnoteReference w:id="5"/>
            </w:r>
          </w:p>
        </w:tc>
      </w:tr>
      <w:tr w:rsidR="00E42A71" w:rsidRPr="00B72B68" w:rsidTr="005151F7">
        <w:tc>
          <w:tcPr>
            <w:tcW w:w="3369" w:type="dxa"/>
          </w:tcPr>
          <w:p w:rsidR="00E42A71" w:rsidRPr="00B72B68" w:rsidRDefault="00E42A71" w:rsidP="005151F7">
            <w:pPr>
              <w:jc w:val="center"/>
              <w:rPr>
                <w:b/>
              </w:rPr>
            </w:pPr>
            <w:r w:rsidRPr="00B72B68">
              <w:rPr>
                <w:b/>
              </w:rPr>
              <w:t xml:space="preserve">Hodnota </w:t>
            </w:r>
          </w:p>
        </w:tc>
        <w:tc>
          <w:tcPr>
            <w:tcW w:w="5843" w:type="dxa"/>
          </w:tcPr>
          <w:p w:rsidR="00E42A71" w:rsidRPr="00B72B68" w:rsidRDefault="00E42A71" w:rsidP="005151F7">
            <w:pPr>
              <w:jc w:val="center"/>
              <w:rPr>
                <w:b/>
              </w:rPr>
            </w:pPr>
            <w:r w:rsidRPr="00B72B68">
              <w:rPr>
                <w:b/>
              </w:rPr>
              <w:t xml:space="preserve">Odůvodnění </w:t>
            </w:r>
          </w:p>
        </w:tc>
      </w:tr>
      <w:tr w:rsidR="00E42A71" w:rsidRPr="00B72B68" w:rsidTr="005151F7">
        <w:tc>
          <w:tcPr>
            <w:tcW w:w="3369" w:type="dxa"/>
          </w:tcPr>
          <w:p w:rsidR="00E42A71" w:rsidRPr="00B72B68" w:rsidRDefault="00E42A71" w:rsidP="005151F7">
            <w:pPr>
              <w:pStyle w:val="Odstavecseseznamem"/>
              <w:spacing w:before="60" w:after="60"/>
              <w:ind w:left="0"/>
              <w:jc w:val="both"/>
              <w:rPr>
                <w:color w:val="FF0000"/>
              </w:rPr>
            </w:pPr>
            <w:r w:rsidRPr="00B72B68">
              <w:t>16 500 000,- Kč bez DPH</w:t>
            </w:r>
          </w:p>
        </w:tc>
        <w:tc>
          <w:tcPr>
            <w:tcW w:w="5843" w:type="dxa"/>
          </w:tcPr>
          <w:p w:rsidR="00E42A71" w:rsidRPr="00B72B68" w:rsidRDefault="00E42A71" w:rsidP="005151F7">
            <w:pPr>
              <w:pStyle w:val="Odstavecseseznamem"/>
              <w:spacing w:before="60" w:after="60" w:line="280" w:lineRule="atLeast"/>
              <w:ind w:left="0"/>
              <w:jc w:val="both"/>
              <w:rPr>
                <w:color w:val="000000"/>
              </w:rPr>
            </w:pPr>
            <w:r w:rsidRPr="00B72B68">
              <w:rPr>
                <w:color w:val="000000"/>
              </w:rPr>
              <w:t xml:space="preserve">Předpokládaná hodnota veřejné zakázky byla stanovena v souladu s § 13 odst. 2 zákona č. 137/2006 Sb., o veřejných zakázkách, ve znění pozdějších předpisů, a to na základě odborného odhadu </w:t>
            </w:r>
            <w:r w:rsidRPr="00B72B68">
              <w:t>složení a pracovní vytíženosti realizačního týmu v kontextu statistických údajů o mzdách v ICT sektoru v České republice</w:t>
            </w:r>
            <w:r w:rsidRPr="00B72B68">
              <w:rPr>
                <w:color w:val="000000"/>
              </w:rPr>
              <w:t>.</w:t>
            </w:r>
          </w:p>
          <w:p w:rsidR="00E42A71" w:rsidRPr="00B72B68" w:rsidRDefault="00E42A71" w:rsidP="005151F7">
            <w:pPr>
              <w:pStyle w:val="Odstavecseseznamem"/>
              <w:spacing w:before="60" w:after="60"/>
              <w:ind w:left="0"/>
              <w:jc w:val="both"/>
              <w:rPr>
                <w:color w:val="FF0000"/>
              </w:rPr>
            </w:pPr>
            <w:r w:rsidRPr="00B72B68">
              <w:rPr>
                <w:color w:val="000000"/>
              </w:rPr>
              <w:t>Nejedná se o významnou veřejnou zakázku, tj. odůvodnění předpokládané hodnoty zadavatel neprovádí.</w:t>
            </w:r>
          </w:p>
        </w:tc>
      </w:tr>
    </w:tbl>
    <w:p w:rsidR="00E42A71" w:rsidRPr="00B72B68" w:rsidRDefault="00E42A71" w:rsidP="00E42A71">
      <w:pPr>
        <w:tabs>
          <w:tab w:val="left" w:pos="2880"/>
        </w:tabs>
      </w:pPr>
    </w:p>
    <w:p w:rsidR="00E42A71" w:rsidRPr="00B72B68" w:rsidRDefault="00E42A71" w:rsidP="00E42A71">
      <w:pPr>
        <w:spacing w:after="120"/>
        <w:rPr>
          <w:i/>
          <w:u w:val="single"/>
        </w:rPr>
      </w:pPr>
      <w:r w:rsidRPr="00B72B68">
        <w:rPr>
          <w:i/>
          <w:u w:val="single"/>
        </w:rPr>
        <w:t>Odůvodnění způsobu hodnocení:</w:t>
      </w:r>
    </w:p>
    <w:p w:rsidR="00E42A71" w:rsidRPr="00B72B68" w:rsidRDefault="00E42A71" w:rsidP="00B72B68">
      <w:pPr>
        <w:pStyle w:val="NormalJustified"/>
        <w:rPr>
          <w:szCs w:val="24"/>
        </w:rPr>
      </w:pPr>
      <w:r w:rsidRPr="00B72B68">
        <w:rPr>
          <w:szCs w:val="24"/>
        </w:rPr>
        <w:t xml:space="preserve">Pro hodnocení nabídek použije zadavatel, resp. hodnotící komise, klasický a běžně používaný způsob. </w:t>
      </w:r>
      <w:r w:rsidRPr="00B72B68">
        <w:rPr>
          <w:bCs/>
          <w:iCs/>
          <w:szCs w:val="24"/>
        </w:rPr>
        <w:t>Předmětem hodnocení bude celková nabídková cena za plnění předmětu veřejné zakázky v Kč bez DPH. Hodnotící komise sestaví pořadí uchazečů od prvého k poslednímu dle výše nabídkové ceny v Kč bez DPH, nejvýhodnější nabídkou je pak ta s nejnižší nabídkovou cenou v Kč bez DPH.</w:t>
      </w:r>
    </w:p>
    <w:p w:rsidR="00E930C9" w:rsidRPr="00B72B68" w:rsidRDefault="00E930C9"/>
    <w:sectPr w:rsidR="00E930C9" w:rsidRPr="00B72B68" w:rsidSect="00640EA1">
      <w:headerReference w:type="default" r:id="rId8"/>
      <w:footerReference w:type="default" r:id="rId9"/>
      <w:headerReference w:type="first" r:id="rId10"/>
      <w:footerReference w:type="first" r:id="rId11"/>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38E2" w:rsidRDefault="00FA38E2" w:rsidP="00E42A71">
      <w:r>
        <w:separator/>
      </w:r>
    </w:p>
  </w:endnote>
  <w:endnote w:type="continuationSeparator" w:id="0">
    <w:p w:rsidR="00FA38E2" w:rsidRDefault="00FA38E2" w:rsidP="00E42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5F4" w:rsidRDefault="007A2153">
    <w:pPr>
      <w:pStyle w:val="Zpat"/>
      <w:jc w:val="center"/>
      <w:rPr>
        <w:sz w:val="20"/>
        <w:szCs w:val="20"/>
      </w:rPr>
    </w:pPr>
    <w:r>
      <w:rPr>
        <w:sz w:val="20"/>
        <w:szCs w:val="20"/>
      </w:rPr>
      <w:t xml:space="preserve">Strana </w:t>
    </w:r>
    <w:r>
      <w:rPr>
        <w:sz w:val="20"/>
        <w:szCs w:val="20"/>
      </w:rPr>
      <w:fldChar w:fldCharType="begin"/>
    </w:r>
    <w:r>
      <w:rPr>
        <w:sz w:val="20"/>
        <w:szCs w:val="20"/>
      </w:rPr>
      <w:instrText xml:space="preserve"> PAGE </w:instrText>
    </w:r>
    <w:r>
      <w:rPr>
        <w:sz w:val="20"/>
        <w:szCs w:val="20"/>
      </w:rPr>
      <w:fldChar w:fldCharType="separate"/>
    </w:r>
    <w:r w:rsidR="00A71296">
      <w:rPr>
        <w:noProof/>
        <w:sz w:val="20"/>
        <w:szCs w:val="20"/>
      </w:rPr>
      <w:t>3</w:t>
    </w:r>
    <w:r>
      <w:rPr>
        <w:sz w:val="20"/>
        <w:szCs w:val="20"/>
      </w:rPr>
      <w:fldChar w:fldCharType="end"/>
    </w:r>
    <w:r>
      <w:rPr>
        <w:sz w:val="20"/>
        <w:szCs w:val="20"/>
      </w:rPr>
      <w:t xml:space="preserve"> (celkem </w:t>
    </w:r>
    <w:r>
      <w:rPr>
        <w:sz w:val="20"/>
        <w:szCs w:val="20"/>
      </w:rPr>
      <w:fldChar w:fldCharType="begin"/>
    </w:r>
    <w:r>
      <w:rPr>
        <w:sz w:val="20"/>
        <w:szCs w:val="20"/>
      </w:rPr>
      <w:instrText xml:space="preserve"> NUMPAGES </w:instrText>
    </w:r>
    <w:r>
      <w:rPr>
        <w:sz w:val="20"/>
        <w:szCs w:val="20"/>
      </w:rPr>
      <w:fldChar w:fldCharType="separate"/>
    </w:r>
    <w:r w:rsidR="00A71296">
      <w:rPr>
        <w:noProof/>
        <w:sz w:val="20"/>
        <w:szCs w:val="20"/>
      </w:rPr>
      <w:t>9</w:t>
    </w:r>
    <w:r>
      <w:rPr>
        <w:sz w:val="20"/>
        <w:szCs w:val="20"/>
      </w:rPr>
      <w:fldChar w:fldCharType="end"/>
    </w:r>
    <w:r>
      <w:rPr>
        <w:sz w:val="20"/>
        <w:szCs w:val="20"/>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5F4" w:rsidRDefault="007A2153">
    <w:pPr>
      <w:pStyle w:val="Zpat"/>
      <w:jc w:val="center"/>
      <w:rPr>
        <w:sz w:val="20"/>
        <w:szCs w:val="20"/>
      </w:rPr>
    </w:pPr>
    <w:r>
      <w:rPr>
        <w:sz w:val="20"/>
        <w:szCs w:val="20"/>
      </w:rPr>
      <w:t xml:space="preserve">Strana </w:t>
    </w:r>
    <w:r>
      <w:rPr>
        <w:sz w:val="20"/>
        <w:szCs w:val="20"/>
      </w:rPr>
      <w:fldChar w:fldCharType="begin"/>
    </w:r>
    <w:r>
      <w:rPr>
        <w:sz w:val="20"/>
        <w:szCs w:val="20"/>
      </w:rPr>
      <w:instrText xml:space="preserve"> PAGE </w:instrText>
    </w:r>
    <w:r>
      <w:rPr>
        <w:sz w:val="20"/>
        <w:szCs w:val="20"/>
      </w:rPr>
      <w:fldChar w:fldCharType="separate"/>
    </w:r>
    <w:r w:rsidR="00A71296">
      <w:rPr>
        <w:noProof/>
        <w:sz w:val="20"/>
        <w:szCs w:val="20"/>
      </w:rPr>
      <w:t>1</w:t>
    </w:r>
    <w:r>
      <w:rPr>
        <w:sz w:val="20"/>
        <w:szCs w:val="20"/>
      </w:rPr>
      <w:fldChar w:fldCharType="end"/>
    </w:r>
    <w:r>
      <w:rPr>
        <w:sz w:val="20"/>
        <w:szCs w:val="20"/>
      </w:rPr>
      <w:t xml:space="preserve"> (celkem </w:t>
    </w:r>
    <w:r>
      <w:rPr>
        <w:sz w:val="20"/>
        <w:szCs w:val="20"/>
      </w:rPr>
      <w:fldChar w:fldCharType="begin"/>
    </w:r>
    <w:r>
      <w:rPr>
        <w:sz w:val="20"/>
        <w:szCs w:val="20"/>
      </w:rPr>
      <w:instrText xml:space="preserve"> NUMPAGES </w:instrText>
    </w:r>
    <w:r>
      <w:rPr>
        <w:sz w:val="20"/>
        <w:szCs w:val="20"/>
      </w:rPr>
      <w:fldChar w:fldCharType="separate"/>
    </w:r>
    <w:r w:rsidR="00A71296">
      <w:rPr>
        <w:noProof/>
        <w:sz w:val="20"/>
        <w:szCs w:val="20"/>
      </w:rPr>
      <w:t>9</w:t>
    </w:r>
    <w:r>
      <w:rPr>
        <w:sz w:val="20"/>
        <w:szCs w:val="20"/>
      </w:rPr>
      <w:fldChar w:fldCharType="end"/>
    </w:r>
    <w:r>
      <w:rPr>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38E2" w:rsidRDefault="00FA38E2" w:rsidP="00E42A71">
      <w:r>
        <w:separator/>
      </w:r>
    </w:p>
  </w:footnote>
  <w:footnote w:type="continuationSeparator" w:id="0">
    <w:p w:rsidR="00FA38E2" w:rsidRDefault="00FA38E2" w:rsidP="00E42A71">
      <w:r>
        <w:continuationSeparator/>
      </w:r>
    </w:p>
  </w:footnote>
  <w:footnote w:id="1">
    <w:p w:rsidR="00E42A71" w:rsidRPr="0088308A" w:rsidRDefault="00E42A71" w:rsidP="00E42A71">
      <w:pPr>
        <w:pStyle w:val="Textpoznpodarou"/>
        <w:jc w:val="both"/>
      </w:pPr>
      <w:r w:rsidRPr="0088308A">
        <w:rPr>
          <w:rStyle w:val="Znakapoznpodarou"/>
        </w:rPr>
        <w:footnoteRef/>
      </w:r>
      <w:r w:rsidRPr="0088308A">
        <w:t xml:space="preserve"> </w:t>
      </w:r>
      <w:r w:rsidRPr="00B72B68">
        <w:rPr>
          <w:bCs/>
          <w:sz w:val="18"/>
          <w:szCs w:val="18"/>
          <w:u w:val="single"/>
        </w:rPr>
        <w:t>Odůvodnění veřejné zakázky</w:t>
      </w:r>
      <w:r w:rsidRPr="00B72B68">
        <w:rPr>
          <w:bCs/>
          <w:sz w:val="18"/>
          <w:szCs w:val="18"/>
        </w:rPr>
        <w:t xml:space="preserve"> bu</w:t>
      </w:r>
      <w:r w:rsidRPr="00B72B68">
        <w:rPr>
          <w:sz w:val="18"/>
          <w:szCs w:val="18"/>
        </w:rPr>
        <w:t>de nejpozději do 3 pracovních dnů od uveřejnění oznámení o zahájení zadávacího řízení nebo od odeslání výzvy o zahájení zadávacího řízení uveřejněné na profilu zadavatele. Organizátor není povinen toto Odůvodnění veřejné zakázky zpracovávat v případě zjednodušeného podlimit</w:t>
      </w:r>
      <w:bookmarkStart w:id="0" w:name="_GoBack"/>
      <w:bookmarkEnd w:id="0"/>
      <w:r w:rsidRPr="00B72B68">
        <w:rPr>
          <w:sz w:val="18"/>
          <w:szCs w:val="18"/>
        </w:rPr>
        <w:t>ního řízení.</w:t>
      </w:r>
    </w:p>
  </w:footnote>
  <w:footnote w:id="2">
    <w:p w:rsidR="00E42A71" w:rsidRDefault="00E42A71" w:rsidP="00E42A71">
      <w:pPr>
        <w:pStyle w:val="Textpoznpodarou"/>
      </w:pPr>
      <w:r w:rsidRPr="00BD2D94">
        <w:rPr>
          <w:rStyle w:val="Znakapoznpodarou"/>
          <w:rFonts w:ascii="Garamond" w:hAnsi="Garamond"/>
        </w:rPr>
        <w:footnoteRef/>
      </w:r>
      <w:r w:rsidRPr="00BD2D94">
        <w:rPr>
          <w:rFonts w:ascii="Garamond" w:hAnsi="Garamond"/>
        </w:rPr>
        <w:t xml:space="preserve"> </w:t>
      </w:r>
      <w:r w:rsidRPr="00B72B68">
        <w:rPr>
          <w:sz w:val="18"/>
          <w:szCs w:val="18"/>
        </w:rPr>
        <w:t>Pokud organizátor uvedené technické kvalifikační požadavky požaduje.</w:t>
      </w:r>
    </w:p>
  </w:footnote>
  <w:footnote w:id="3">
    <w:p w:rsidR="00E42A71" w:rsidRPr="007463E4" w:rsidRDefault="00E42A71" w:rsidP="00E42A71">
      <w:pPr>
        <w:pStyle w:val="Textpoznpodarou"/>
        <w:jc w:val="both"/>
      </w:pPr>
      <w:r w:rsidRPr="007463E4">
        <w:rPr>
          <w:rStyle w:val="Znakapoznpodarou"/>
        </w:rPr>
        <w:footnoteRef/>
      </w:r>
      <w:r w:rsidRPr="007463E4">
        <w:t xml:space="preserve"> </w:t>
      </w:r>
      <w:r w:rsidRPr="00B72B68">
        <w:rPr>
          <w:sz w:val="18"/>
          <w:szCs w:val="18"/>
        </w:rPr>
        <w:t>U stavebních prací bude pro odůvodnění použita vyhláška č. 231/2012 Sb., kterou se stanoví obchodní podmínky pro veřejné zakázky na stavební práce.</w:t>
      </w:r>
    </w:p>
  </w:footnote>
  <w:footnote w:id="4">
    <w:p w:rsidR="00E42A71" w:rsidRPr="00B72B68" w:rsidRDefault="00E42A71" w:rsidP="00E42A71">
      <w:pPr>
        <w:pStyle w:val="Textpoznpodarou"/>
        <w:spacing w:before="120"/>
        <w:jc w:val="both"/>
        <w:rPr>
          <w:sz w:val="18"/>
          <w:szCs w:val="18"/>
        </w:rPr>
      </w:pPr>
      <w:r w:rsidRPr="00370A83">
        <w:rPr>
          <w:rStyle w:val="Znakapoznpodarou"/>
        </w:rPr>
        <w:footnoteRef/>
      </w:r>
      <w:r w:rsidRPr="00370A83">
        <w:t xml:space="preserve"> </w:t>
      </w:r>
      <w:r w:rsidRPr="00B72B68">
        <w:rPr>
          <w:sz w:val="18"/>
          <w:szCs w:val="18"/>
        </w:rPr>
        <w:t>Pokud vymezí organizátor v zadávací dokumentaci technické podmínky veřejné zakázky, odůvodní vymezení těchto požadavků ve vztahu ke svým potřebám a k rizikům souvisejícím s plněním veřejné zakázky. V případě veřejné zakázky na stavební práce odůvodní organizátor jen technické podmínky, které vymezil v zadávacích podmínkách nad rozsah technických charakteristik, popisů a podmínek provádění stavebních prací uvedených v zadávací dokumentaci podle § 44 odst. 4 zákona.</w:t>
      </w:r>
    </w:p>
  </w:footnote>
  <w:footnote w:id="5">
    <w:p w:rsidR="00E42A71" w:rsidRPr="00370A83" w:rsidRDefault="00E42A71" w:rsidP="00E42A71">
      <w:pPr>
        <w:pStyle w:val="Textpoznpodarou"/>
        <w:spacing w:before="120"/>
        <w:jc w:val="both"/>
      </w:pPr>
      <w:r w:rsidRPr="00370A83">
        <w:rPr>
          <w:rStyle w:val="Znakapoznpodarou"/>
        </w:rPr>
        <w:footnoteRef/>
      </w:r>
      <w:r w:rsidRPr="00370A83">
        <w:t xml:space="preserve"> </w:t>
      </w:r>
      <w:r w:rsidRPr="00B72B68">
        <w:rPr>
          <w:sz w:val="18"/>
          <w:szCs w:val="18"/>
        </w:rPr>
        <w:t>Týká se pouze veřejných zakázek, u kterých zákon vyžaduje odůvodnění stanovení předpokládané hodnoty (významná veřejná zakázka).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5F4" w:rsidRPr="009F3A1F" w:rsidRDefault="007A2153" w:rsidP="009F3A1F">
    <w:pPr>
      <w:pStyle w:val="Nzev"/>
      <w:spacing w:after="120"/>
      <w:jc w:val="right"/>
      <w:rPr>
        <w:u w:val="none"/>
      </w:rPr>
    </w:pPr>
    <w:r>
      <w:rPr>
        <w:u w:val="none"/>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CCD" w:rsidRDefault="00EE4CCD" w:rsidP="00E42A71">
    <w:pPr>
      <w:pStyle w:val="Zhlav"/>
      <w:jc w:val="center"/>
      <w:rPr>
        <w:b/>
      </w:rPr>
    </w:pPr>
  </w:p>
  <w:p w:rsidR="00EE4CCD" w:rsidRDefault="00EE4CCD" w:rsidP="00EE4CCD">
    <w:pPr>
      <w:pStyle w:val="Zhlav"/>
      <w:tabs>
        <w:tab w:val="left" w:pos="708"/>
      </w:tabs>
    </w:pPr>
    <w:r>
      <w:rPr>
        <w:noProof/>
      </w:rPr>
      <w:drawing>
        <wp:anchor distT="0" distB="0" distL="114300" distR="114300" simplePos="0" relativeHeight="251657216" behindDoc="0" locked="0" layoutInCell="1" allowOverlap="1" wp14:anchorId="440F5633" wp14:editId="1B6AB0FB">
          <wp:simplePos x="0" y="0"/>
          <wp:positionH relativeFrom="column">
            <wp:posOffset>318770</wp:posOffset>
          </wp:positionH>
          <wp:positionV relativeFrom="paragraph">
            <wp:posOffset>-121285</wp:posOffset>
          </wp:positionV>
          <wp:extent cx="2695575" cy="561975"/>
          <wp:effectExtent l="0" t="0" r="9525" b="952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95575" cy="56197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1006F94D" wp14:editId="7696BA9D">
          <wp:simplePos x="0" y="0"/>
          <wp:positionH relativeFrom="column">
            <wp:posOffset>4919345</wp:posOffset>
          </wp:positionH>
          <wp:positionV relativeFrom="paragraph">
            <wp:posOffset>-127000</wp:posOffset>
          </wp:positionV>
          <wp:extent cx="526415" cy="542925"/>
          <wp:effectExtent l="0" t="0" r="6985" b="9525"/>
          <wp:wrapNone/>
          <wp:docPr id="1" name="Obrázek 1" descr="logoMPSV-m-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MPSV-m-s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6415" cy="54292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p w:rsidR="00EE4CCD" w:rsidRDefault="00EE4CCD" w:rsidP="00E42A71">
    <w:pPr>
      <w:pStyle w:val="Zhlav"/>
      <w:jc w:val="center"/>
      <w:rPr>
        <w:b/>
      </w:rPr>
    </w:pPr>
  </w:p>
  <w:p w:rsidR="00EE4CCD" w:rsidRDefault="00EE4CCD" w:rsidP="00E42A71">
    <w:pPr>
      <w:pStyle w:val="Zhlav"/>
      <w:jc w:val="center"/>
      <w:rPr>
        <w:b/>
      </w:rPr>
    </w:pPr>
  </w:p>
  <w:p w:rsidR="00E42A71" w:rsidRDefault="00E42A71" w:rsidP="00E42A71">
    <w:pPr>
      <w:pStyle w:val="Zhlav"/>
      <w:jc w:val="center"/>
      <w:rPr>
        <w:b/>
      </w:rPr>
    </w:pPr>
    <w:r w:rsidRPr="007A2153">
      <w:rPr>
        <w:b/>
      </w:rPr>
      <w:t>Zajištění tvorby, rozvoje a podpory portálu esfcr.cz včetně integrace podpůrných webových aplikací</w:t>
    </w:r>
  </w:p>
  <w:p w:rsidR="00EE4CCD" w:rsidRPr="007A2153" w:rsidRDefault="00EE4CCD" w:rsidP="00E42A71">
    <w:pPr>
      <w:pStyle w:val="Zhlav"/>
      <w:jc w:val="cent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F7A89"/>
    <w:multiLevelType w:val="hybridMultilevel"/>
    <w:tmpl w:val="56E2A1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1081D05"/>
    <w:multiLevelType w:val="hybridMultilevel"/>
    <w:tmpl w:val="1F44CC76"/>
    <w:lvl w:ilvl="0" w:tplc="56DA48C6">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2AF3B4A"/>
    <w:multiLevelType w:val="hybridMultilevel"/>
    <w:tmpl w:val="1F44CC76"/>
    <w:lvl w:ilvl="0" w:tplc="56DA48C6">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4516A99"/>
    <w:multiLevelType w:val="hybridMultilevel"/>
    <w:tmpl w:val="0D5275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0471C67"/>
    <w:multiLevelType w:val="hybridMultilevel"/>
    <w:tmpl w:val="310295B0"/>
    <w:lvl w:ilvl="0" w:tplc="14D81438">
      <w:start w:val="4"/>
      <w:numFmt w:val="bullet"/>
      <w:lvlText w:val="-"/>
      <w:lvlJc w:val="left"/>
      <w:pPr>
        <w:ind w:left="720" w:hanging="360"/>
      </w:pPr>
      <w:rPr>
        <w:rFonts w:ascii="Arial" w:eastAsia="Times New Roman" w:hAnsi="Arial" w:hint="default"/>
        <w:color w:val="auto"/>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58463B6E"/>
    <w:multiLevelType w:val="hybridMultilevel"/>
    <w:tmpl w:val="27508D7C"/>
    <w:lvl w:ilvl="0" w:tplc="BD7AA52A">
      <w:start w:val="1"/>
      <w:numFmt w:val="decimal"/>
      <w:lvlText w:val="%1)"/>
      <w:lvlJc w:val="left"/>
      <w:pPr>
        <w:ind w:left="720" w:hanging="360"/>
      </w:pPr>
      <w:rPr>
        <w:rFonts w:eastAsia="Times New Roman" w:cs="Garamond" w:hint="default"/>
        <w:b/>
      </w:rPr>
    </w:lvl>
    <w:lvl w:ilvl="1" w:tplc="793EA594">
      <w:start w:val="1"/>
      <w:numFmt w:val="decimal"/>
      <w:lvlText w:val="2.%2."/>
      <w:lvlJc w:val="left"/>
      <w:pPr>
        <w:ind w:left="1440" w:hanging="360"/>
      </w:pPr>
      <w:rPr>
        <w:rFonts w:hint="default"/>
        <w:b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7CE76C2D"/>
    <w:multiLevelType w:val="hybridMultilevel"/>
    <w:tmpl w:val="0700FA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7F025034"/>
    <w:multiLevelType w:val="hybridMultilevel"/>
    <w:tmpl w:val="54A232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7"/>
  </w:num>
  <w:num w:numId="4">
    <w:abstractNumId w:val="0"/>
  </w:num>
  <w:num w:numId="5">
    <w:abstractNumId w:val="4"/>
  </w:num>
  <w:num w:numId="6">
    <w:abstractNumId w:val="3"/>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A71"/>
    <w:rsid w:val="00061202"/>
    <w:rsid w:val="000A4E0F"/>
    <w:rsid w:val="000D01E7"/>
    <w:rsid w:val="001254AF"/>
    <w:rsid w:val="00194A2D"/>
    <w:rsid w:val="001B2A31"/>
    <w:rsid w:val="0033260B"/>
    <w:rsid w:val="003502AB"/>
    <w:rsid w:val="003D61FA"/>
    <w:rsid w:val="004F659E"/>
    <w:rsid w:val="0050058F"/>
    <w:rsid w:val="00503072"/>
    <w:rsid w:val="00516EBA"/>
    <w:rsid w:val="005516BE"/>
    <w:rsid w:val="00585953"/>
    <w:rsid w:val="00590BC4"/>
    <w:rsid w:val="005D3EB2"/>
    <w:rsid w:val="00631548"/>
    <w:rsid w:val="0064270D"/>
    <w:rsid w:val="006D6579"/>
    <w:rsid w:val="006F1232"/>
    <w:rsid w:val="007A2153"/>
    <w:rsid w:val="00880253"/>
    <w:rsid w:val="00886EBD"/>
    <w:rsid w:val="008B0F83"/>
    <w:rsid w:val="008C3ABB"/>
    <w:rsid w:val="008C5D98"/>
    <w:rsid w:val="008D6578"/>
    <w:rsid w:val="009049BB"/>
    <w:rsid w:val="00942AAB"/>
    <w:rsid w:val="00960BBA"/>
    <w:rsid w:val="00995DBE"/>
    <w:rsid w:val="009E32AB"/>
    <w:rsid w:val="00A17DD4"/>
    <w:rsid w:val="00A71296"/>
    <w:rsid w:val="00A96ECB"/>
    <w:rsid w:val="00AC0740"/>
    <w:rsid w:val="00AD3F27"/>
    <w:rsid w:val="00B72B68"/>
    <w:rsid w:val="00B76C10"/>
    <w:rsid w:val="00B85828"/>
    <w:rsid w:val="00B95812"/>
    <w:rsid w:val="00BD5CD4"/>
    <w:rsid w:val="00BE6BBF"/>
    <w:rsid w:val="00BF2E35"/>
    <w:rsid w:val="00C51A16"/>
    <w:rsid w:val="00C6503D"/>
    <w:rsid w:val="00D24C93"/>
    <w:rsid w:val="00D25A08"/>
    <w:rsid w:val="00D304B5"/>
    <w:rsid w:val="00D947DF"/>
    <w:rsid w:val="00E42A71"/>
    <w:rsid w:val="00E51EAE"/>
    <w:rsid w:val="00E74A46"/>
    <w:rsid w:val="00E930C9"/>
    <w:rsid w:val="00EA22FB"/>
    <w:rsid w:val="00EE4CCD"/>
    <w:rsid w:val="00F02E4A"/>
    <w:rsid w:val="00F23FA3"/>
    <w:rsid w:val="00F53428"/>
    <w:rsid w:val="00F64DD4"/>
    <w:rsid w:val="00F66DD3"/>
    <w:rsid w:val="00F95B92"/>
    <w:rsid w:val="00FA38E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42A71"/>
    <w:pPr>
      <w:spacing w:after="0" w:line="240" w:lineRule="auto"/>
    </w:pPr>
    <w:rPr>
      <w:rFonts w:ascii="Times New Roman" w:eastAsia="Times New Roman" w:hAnsi="Times New Roman" w:cs="Times New Roman"/>
      <w:sz w:val="24"/>
      <w:szCs w:val="24"/>
      <w:lang w:eastAsia="cs-CZ"/>
    </w:rPr>
  </w:style>
  <w:style w:type="paragraph" w:styleId="Nadpis5">
    <w:name w:val="heading 5"/>
    <w:basedOn w:val="Normln"/>
    <w:next w:val="Normln"/>
    <w:link w:val="Nadpis5Char"/>
    <w:qFormat/>
    <w:rsid w:val="00E42A71"/>
    <w:pPr>
      <w:keepNext/>
      <w:keepLines/>
      <w:spacing w:before="120" w:after="120"/>
      <w:outlineLvl w:val="4"/>
    </w:pPr>
    <w:rPr>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E42A71"/>
    <w:rPr>
      <w:rFonts w:ascii="Times New Roman" w:eastAsia="Times New Roman" w:hAnsi="Times New Roman" w:cs="Times New Roman"/>
      <w:sz w:val="24"/>
      <w:szCs w:val="20"/>
      <w:u w:val="single"/>
      <w:lang w:eastAsia="cs-CZ"/>
    </w:rPr>
  </w:style>
  <w:style w:type="paragraph" w:styleId="Nzev">
    <w:name w:val="Title"/>
    <w:basedOn w:val="Normln"/>
    <w:link w:val="NzevChar"/>
    <w:qFormat/>
    <w:rsid w:val="00E42A71"/>
    <w:pPr>
      <w:jc w:val="center"/>
    </w:pPr>
    <w:rPr>
      <w:b/>
      <w:bCs/>
      <w:u w:val="single"/>
    </w:rPr>
  </w:style>
  <w:style w:type="character" w:customStyle="1" w:styleId="NzevChar">
    <w:name w:val="Název Char"/>
    <w:basedOn w:val="Standardnpsmoodstavce"/>
    <w:link w:val="Nzev"/>
    <w:rsid w:val="00E42A71"/>
    <w:rPr>
      <w:rFonts w:ascii="Times New Roman" w:eastAsia="Times New Roman" w:hAnsi="Times New Roman" w:cs="Times New Roman"/>
      <w:b/>
      <w:bCs/>
      <w:sz w:val="24"/>
      <w:szCs w:val="24"/>
      <w:u w:val="single"/>
      <w:lang w:eastAsia="cs-CZ"/>
    </w:rPr>
  </w:style>
  <w:style w:type="paragraph" w:styleId="Zkladntext">
    <w:name w:val="Body Text"/>
    <w:basedOn w:val="Normln"/>
    <w:link w:val="ZkladntextChar"/>
    <w:rsid w:val="00E42A71"/>
    <w:pPr>
      <w:jc w:val="both"/>
    </w:pPr>
    <w:rPr>
      <w:szCs w:val="22"/>
    </w:rPr>
  </w:style>
  <w:style w:type="character" w:customStyle="1" w:styleId="ZkladntextChar">
    <w:name w:val="Základní text Char"/>
    <w:basedOn w:val="Standardnpsmoodstavce"/>
    <w:link w:val="Zkladntext"/>
    <w:rsid w:val="00E42A71"/>
    <w:rPr>
      <w:rFonts w:ascii="Times New Roman" w:eastAsia="Times New Roman" w:hAnsi="Times New Roman" w:cs="Times New Roman"/>
      <w:sz w:val="24"/>
      <w:lang w:eastAsia="cs-CZ"/>
    </w:rPr>
  </w:style>
  <w:style w:type="paragraph" w:styleId="Textpoznpodarou">
    <w:name w:val="footnote text"/>
    <w:basedOn w:val="Normln"/>
    <w:link w:val="TextpoznpodarouChar"/>
    <w:uiPriority w:val="99"/>
    <w:rsid w:val="00E42A71"/>
    <w:rPr>
      <w:sz w:val="20"/>
      <w:szCs w:val="20"/>
    </w:rPr>
  </w:style>
  <w:style w:type="character" w:customStyle="1" w:styleId="TextpoznpodarouChar">
    <w:name w:val="Text pozn. pod čarou Char"/>
    <w:basedOn w:val="Standardnpsmoodstavce"/>
    <w:link w:val="Textpoznpodarou"/>
    <w:uiPriority w:val="99"/>
    <w:rsid w:val="00E42A71"/>
    <w:rPr>
      <w:rFonts w:ascii="Times New Roman" w:eastAsia="Times New Roman" w:hAnsi="Times New Roman" w:cs="Times New Roman"/>
      <w:sz w:val="20"/>
      <w:szCs w:val="20"/>
      <w:lang w:eastAsia="cs-CZ"/>
    </w:rPr>
  </w:style>
  <w:style w:type="character" w:styleId="Znakapoznpodarou">
    <w:name w:val="footnote reference"/>
    <w:uiPriority w:val="99"/>
    <w:semiHidden/>
    <w:rsid w:val="00E42A71"/>
    <w:rPr>
      <w:vertAlign w:val="superscript"/>
    </w:rPr>
  </w:style>
  <w:style w:type="paragraph" w:styleId="Zhlav">
    <w:name w:val="header"/>
    <w:basedOn w:val="Normln"/>
    <w:link w:val="ZhlavChar"/>
    <w:uiPriority w:val="99"/>
    <w:rsid w:val="00E42A71"/>
    <w:pPr>
      <w:tabs>
        <w:tab w:val="center" w:pos="4536"/>
        <w:tab w:val="right" w:pos="9072"/>
      </w:tabs>
    </w:pPr>
  </w:style>
  <w:style w:type="character" w:customStyle="1" w:styleId="ZhlavChar">
    <w:name w:val="Záhlaví Char"/>
    <w:basedOn w:val="Standardnpsmoodstavce"/>
    <w:link w:val="Zhlav"/>
    <w:uiPriority w:val="99"/>
    <w:rsid w:val="00E42A71"/>
    <w:rPr>
      <w:rFonts w:ascii="Times New Roman" w:eastAsia="Times New Roman" w:hAnsi="Times New Roman" w:cs="Times New Roman"/>
      <w:sz w:val="24"/>
      <w:szCs w:val="24"/>
      <w:lang w:eastAsia="cs-CZ"/>
    </w:rPr>
  </w:style>
  <w:style w:type="paragraph" w:styleId="Zpat">
    <w:name w:val="footer"/>
    <w:basedOn w:val="Normln"/>
    <w:link w:val="ZpatChar"/>
    <w:rsid w:val="00E42A71"/>
    <w:pPr>
      <w:tabs>
        <w:tab w:val="center" w:pos="4536"/>
        <w:tab w:val="right" w:pos="9072"/>
      </w:tabs>
    </w:pPr>
  </w:style>
  <w:style w:type="character" w:customStyle="1" w:styleId="ZpatChar">
    <w:name w:val="Zápatí Char"/>
    <w:basedOn w:val="Standardnpsmoodstavce"/>
    <w:link w:val="Zpat"/>
    <w:rsid w:val="00E42A71"/>
    <w:rPr>
      <w:rFonts w:ascii="Times New Roman" w:eastAsia="Times New Roman" w:hAnsi="Times New Roman" w:cs="Times New Roman"/>
      <w:sz w:val="24"/>
      <w:szCs w:val="24"/>
      <w:lang w:eastAsia="cs-CZ"/>
    </w:rPr>
  </w:style>
  <w:style w:type="paragraph" w:styleId="Normlnweb">
    <w:name w:val="Normal (Web)"/>
    <w:basedOn w:val="Normln"/>
    <w:rsid w:val="00E42A71"/>
    <w:pPr>
      <w:spacing w:before="100" w:beforeAutospacing="1" w:after="100" w:afterAutospacing="1"/>
    </w:pPr>
  </w:style>
  <w:style w:type="paragraph" w:styleId="Odstavecseseznamem">
    <w:name w:val="List Paragraph"/>
    <w:aliases w:val="A-Odrážky1"/>
    <w:basedOn w:val="Normln"/>
    <w:link w:val="OdstavecseseznamemChar"/>
    <w:uiPriority w:val="34"/>
    <w:qFormat/>
    <w:rsid w:val="00E42A71"/>
    <w:pPr>
      <w:ind w:left="708"/>
    </w:pPr>
  </w:style>
  <w:style w:type="character" w:customStyle="1" w:styleId="OdstavecseseznamemChar">
    <w:name w:val="Odstavec se seznamem Char"/>
    <w:aliases w:val="A-Odrážky1 Char"/>
    <w:link w:val="Odstavecseseznamem"/>
    <w:uiPriority w:val="34"/>
    <w:locked/>
    <w:rsid w:val="00E42A71"/>
    <w:rPr>
      <w:rFonts w:ascii="Times New Roman" w:eastAsia="Times New Roman" w:hAnsi="Times New Roman" w:cs="Times New Roman"/>
      <w:sz w:val="24"/>
      <w:szCs w:val="24"/>
      <w:lang w:eastAsia="cs-CZ"/>
    </w:rPr>
  </w:style>
  <w:style w:type="paragraph" w:customStyle="1" w:styleId="NormalJustified">
    <w:name w:val="Normal (Justified)"/>
    <w:basedOn w:val="Normln"/>
    <w:uiPriority w:val="99"/>
    <w:rsid w:val="00E42A71"/>
    <w:pPr>
      <w:widowControl w:val="0"/>
      <w:jc w:val="both"/>
    </w:pPr>
    <w:rPr>
      <w:kern w:val="28"/>
      <w:szCs w:val="20"/>
    </w:rPr>
  </w:style>
  <w:style w:type="character" w:styleId="Odkaznakoment">
    <w:name w:val="annotation reference"/>
    <w:basedOn w:val="Standardnpsmoodstavce"/>
    <w:uiPriority w:val="99"/>
    <w:semiHidden/>
    <w:unhideWhenUsed/>
    <w:rsid w:val="00C6503D"/>
    <w:rPr>
      <w:sz w:val="16"/>
      <w:szCs w:val="16"/>
    </w:rPr>
  </w:style>
  <w:style w:type="paragraph" w:styleId="Textkomente">
    <w:name w:val="annotation text"/>
    <w:basedOn w:val="Normln"/>
    <w:link w:val="TextkomenteChar"/>
    <w:uiPriority w:val="99"/>
    <w:semiHidden/>
    <w:unhideWhenUsed/>
    <w:rsid w:val="00C6503D"/>
    <w:rPr>
      <w:sz w:val="20"/>
      <w:szCs w:val="20"/>
    </w:rPr>
  </w:style>
  <w:style w:type="character" w:customStyle="1" w:styleId="TextkomenteChar">
    <w:name w:val="Text komentáře Char"/>
    <w:basedOn w:val="Standardnpsmoodstavce"/>
    <w:link w:val="Textkomente"/>
    <w:uiPriority w:val="99"/>
    <w:semiHidden/>
    <w:rsid w:val="00C6503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6503D"/>
    <w:rPr>
      <w:b/>
      <w:bCs/>
    </w:rPr>
  </w:style>
  <w:style w:type="character" w:customStyle="1" w:styleId="PedmtkomenteChar">
    <w:name w:val="Předmět komentáře Char"/>
    <w:basedOn w:val="TextkomenteChar"/>
    <w:link w:val="Pedmtkomente"/>
    <w:uiPriority w:val="99"/>
    <w:semiHidden/>
    <w:rsid w:val="00C6503D"/>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C6503D"/>
    <w:rPr>
      <w:rFonts w:ascii="Tahoma" w:hAnsi="Tahoma" w:cs="Tahoma"/>
      <w:sz w:val="16"/>
      <w:szCs w:val="16"/>
    </w:rPr>
  </w:style>
  <w:style w:type="character" w:customStyle="1" w:styleId="TextbublinyChar">
    <w:name w:val="Text bubliny Char"/>
    <w:basedOn w:val="Standardnpsmoodstavce"/>
    <w:link w:val="Textbubliny"/>
    <w:uiPriority w:val="99"/>
    <w:semiHidden/>
    <w:rsid w:val="00C6503D"/>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42A71"/>
    <w:pPr>
      <w:spacing w:after="0" w:line="240" w:lineRule="auto"/>
    </w:pPr>
    <w:rPr>
      <w:rFonts w:ascii="Times New Roman" w:eastAsia="Times New Roman" w:hAnsi="Times New Roman" w:cs="Times New Roman"/>
      <w:sz w:val="24"/>
      <w:szCs w:val="24"/>
      <w:lang w:eastAsia="cs-CZ"/>
    </w:rPr>
  </w:style>
  <w:style w:type="paragraph" w:styleId="Nadpis5">
    <w:name w:val="heading 5"/>
    <w:basedOn w:val="Normln"/>
    <w:next w:val="Normln"/>
    <w:link w:val="Nadpis5Char"/>
    <w:qFormat/>
    <w:rsid w:val="00E42A71"/>
    <w:pPr>
      <w:keepNext/>
      <w:keepLines/>
      <w:spacing w:before="120" w:after="120"/>
      <w:outlineLvl w:val="4"/>
    </w:pPr>
    <w:rPr>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E42A71"/>
    <w:rPr>
      <w:rFonts w:ascii="Times New Roman" w:eastAsia="Times New Roman" w:hAnsi="Times New Roman" w:cs="Times New Roman"/>
      <w:sz w:val="24"/>
      <w:szCs w:val="20"/>
      <w:u w:val="single"/>
      <w:lang w:eastAsia="cs-CZ"/>
    </w:rPr>
  </w:style>
  <w:style w:type="paragraph" w:styleId="Nzev">
    <w:name w:val="Title"/>
    <w:basedOn w:val="Normln"/>
    <w:link w:val="NzevChar"/>
    <w:qFormat/>
    <w:rsid w:val="00E42A71"/>
    <w:pPr>
      <w:jc w:val="center"/>
    </w:pPr>
    <w:rPr>
      <w:b/>
      <w:bCs/>
      <w:u w:val="single"/>
    </w:rPr>
  </w:style>
  <w:style w:type="character" w:customStyle="1" w:styleId="NzevChar">
    <w:name w:val="Název Char"/>
    <w:basedOn w:val="Standardnpsmoodstavce"/>
    <w:link w:val="Nzev"/>
    <w:rsid w:val="00E42A71"/>
    <w:rPr>
      <w:rFonts w:ascii="Times New Roman" w:eastAsia="Times New Roman" w:hAnsi="Times New Roman" w:cs="Times New Roman"/>
      <w:b/>
      <w:bCs/>
      <w:sz w:val="24"/>
      <w:szCs w:val="24"/>
      <w:u w:val="single"/>
      <w:lang w:eastAsia="cs-CZ"/>
    </w:rPr>
  </w:style>
  <w:style w:type="paragraph" w:styleId="Zkladntext">
    <w:name w:val="Body Text"/>
    <w:basedOn w:val="Normln"/>
    <w:link w:val="ZkladntextChar"/>
    <w:rsid w:val="00E42A71"/>
    <w:pPr>
      <w:jc w:val="both"/>
    </w:pPr>
    <w:rPr>
      <w:szCs w:val="22"/>
    </w:rPr>
  </w:style>
  <w:style w:type="character" w:customStyle="1" w:styleId="ZkladntextChar">
    <w:name w:val="Základní text Char"/>
    <w:basedOn w:val="Standardnpsmoodstavce"/>
    <w:link w:val="Zkladntext"/>
    <w:rsid w:val="00E42A71"/>
    <w:rPr>
      <w:rFonts w:ascii="Times New Roman" w:eastAsia="Times New Roman" w:hAnsi="Times New Roman" w:cs="Times New Roman"/>
      <w:sz w:val="24"/>
      <w:lang w:eastAsia="cs-CZ"/>
    </w:rPr>
  </w:style>
  <w:style w:type="paragraph" w:styleId="Textpoznpodarou">
    <w:name w:val="footnote text"/>
    <w:basedOn w:val="Normln"/>
    <w:link w:val="TextpoznpodarouChar"/>
    <w:uiPriority w:val="99"/>
    <w:rsid w:val="00E42A71"/>
    <w:rPr>
      <w:sz w:val="20"/>
      <w:szCs w:val="20"/>
    </w:rPr>
  </w:style>
  <w:style w:type="character" w:customStyle="1" w:styleId="TextpoznpodarouChar">
    <w:name w:val="Text pozn. pod čarou Char"/>
    <w:basedOn w:val="Standardnpsmoodstavce"/>
    <w:link w:val="Textpoznpodarou"/>
    <w:uiPriority w:val="99"/>
    <w:rsid w:val="00E42A71"/>
    <w:rPr>
      <w:rFonts w:ascii="Times New Roman" w:eastAsia="Times New Roman" w:hAnsi="Times New Roman" w:cs="Times New Roman"/>
      <w:sz w:val="20"/>
      <w:szCs w:val="20"/>
      <w:lang w:eastAsia="cs-CZ"/>
    </w:rPr>
  </w:style>
  <w:style w:type="character" w:styleId="Znakapoznpodarou">
    <w:name w:val="footnote reference"/>
    <w:uiPriority w:val="99"/>
    <w:semiHidden/>
    <w:rsid w:val="00E42A71"/>
    <w:rPr>
      <w:vertAlign w:val="superscript"/>
    </w:rPr>
  </w:style>
  <w:style w:type="paragraph" w:styleId="Zhlav">
    <w:name w:val="header"/>
    <w:basedOn w:val="Normln"/>
    <w:link w:val="ZhlavChar"/>
    <w:uiPriority w:val="99"/>
    <w:rsid w:val="00E42A71"/>
    <w:pPr>
      <w:tabs>
        <w:tab w:val="center" w:pos="4536"/>
        <w:tab w:val="right" w:pos="9072"/>
      </w:tabs>
    </w:pPr>
  </w:style>
  <w:style w:type="character" w:customStyle="1" w:styleId="ZhlavChar">
    <w:name w:val="Záhlaví Char"/>
    <w:basedOn w:val="Standardnpsmoodstavce"/>
    <w:link w:val="Zhlav"/>
    <w:uiPriority w:val="99"/>
    <w:rsid w:val="00E42A71"/>
    <w:rPr>
      <w:rFonts w:ascii="Times New Roman" w:eastAsia="Times New Roman" w:hAnsi="Times New Roman" w:cs="Times New Roman"/>
      <w:sz w:val="24"/>
      <w:szCs w:val="24"/>
      <w:lang w:eastAsia="cs-CZ"/>
    </w:rPr>
  </w:style>
  <w:style w:type="paragraph" w:styleId="Zpat">
    <w:name w:val="footer"/>
    <w:basedOn w:val="Normln"/>
    <w:link w:val="ZpatChar"/>
    <w:rsid w:val="00E42A71"/>
    <w:pPr>
      <w:tabs>
        <w:tab w:val="center" w:pos="4536"/>
        <w:tab w:val="right" w:pos="9072"/>
      </w:tabs>
    </w:pPr>
  </w:style>
  <w:style w:type="character" w:customStyle="1" w:styleId="ZpatChar">
    <w:name w:val="Zápatí Char"/>
    <w:basedOn w:val="Standardnpsmoodstavce"/>
    <w:link w:val="Zpat"/>
    <w:rsid w:val="00E42A71"/>
    <w:rPr>
      <w:rFonts w:ascii="Times New Roman" w:eastAsia="Times New Roman" w:hAnsi="Times New Roman" w:cs="Times New Roman"/>
      <w:sz w:val="24"/>
      <w:szCs w:val="24"/>
      <w:lang w:eastAsia="cs-CZ"/>
    </w:rPr>
  </w:style>
  <w:style w:type="paragraph" w:styleId="Normlnweb">
    <w:name w:val="Normal (Web)"/>
    <w:basedOn w:val="Normln"/>
    <w:rsid w:val="00E42A71"/>
    <w:pPr>
      <w:spacing w:before="100" w:beforeAutospacing="1" w:after="100" w:afterAutospacing="1"/>
    </w:pPr>
  </w:style>
  <w:style w:type="paragraph" w:styleId="Odstavecseseznamem">
    <w:name w:val="List Paragraph"/>
    <w:aliases w:val="A-Odrážky1"/>
    <w:basedOn w:val="Normln"/>
    <w:link w:val="OdstavecseseznamemChar"/>
    <w:uiPriority w:val="34"/>
    <w:qFormat/>
    <w:rsid w:val="00E42A71"/>
    <w:pPr>
      <w:ind w:left="708"/>
    </w:pPr>
  </w:style>
  <w:style w:type="character" w:customStyle="1" w:styleId="OdstavecseseznamemChar">
    <w:name w:val="Odstavec se seznamem Char"/>
    <w:aliases w:val="A-Odrážky1 Char"/>
    <w:link w:val="Odstavecseseznamem"/>
    <w:uiPriority w:val="34"/>
    <w:locked/>
    <w:rsid w:val="00E42A71"/>
    <w:rPr>
      <w:rFonts w:ascii="Times New Roman" w:eastAsia="Times New Roman" w:hAnsi="Times New Roman" w:cs="Times New Roman"/>
      <w:sz w:val="24"/>
      <w:szCs w:val="24"/>
      <w:lang w:eastAsia="cs-CZ"/>
    </w:rPr>
  </w:style>
  <w:style w:type="paragraph" w:customStyle="1" w:styleId="NormalJustified">
    <w:name w:val="Normal (Justified)"/>
    <w:basedOn w:val="Normln"/>
    <w:uiPriority w:val="99"/>
    <w:rsid w:val="00E42A71"/>
    <w:pPr>
      <w:widowControl w:val="0"/>
      <w:jc w:val="both"/>
    </w:pPr>
    <w:rPr>
      <w:kern w:val="28"/>
      <w:szCs w:val="20"/>
    </w:rPr>
  </w:style>
  <w:style w:type="character" w:styleId="Odkaznakoment">
    <w:name w:val="annotation reference"/>
    <w:basedOn w:val="Standardnpsmoodstavce"/>
    <w:uiPriority w:val="99"/>
    <w:semiHidden/>
    <w:unhideWhenUsed/>
    <w:rsid w:val="00C6503D"/>
    <w:rPr>
      <w:sz w:val="16"/>
      <w:szCs w:val="16"/>
    </w:rPr>
  </w:style>
  <w:style w:type="paragraph" w:styleId="Textkomente">
    <w:name w:val="annotation text"/>
    <w:basedOn w:val="Normln"/>
    <w:link w:val="TextkomenteChar"/>
    <w:uiPriority w:val="99"/>
    <w:semiHidden/>
    <w:unhideWhenUsed/>
    <w:rsid w:val="00C6503D"/>
    <w:rPr>
      <w:sz w:val="20"/>
      <w:szCs w:val="20"/>
    </w:rPr>
  </w:style>
  <w:style w:type="character" w:customStyle="1" w:styleId="TextkomenteChar">
    <w:name w:val="Text komentáře Char"/>
    <w:basedOn w:val="Standardnpsmoodstavce"/>
    <w:link w:val="Textkomente"/>
    <w:uiPriority w:val="99"/>
    <w:semiHidden/>
    <w:rsid w:val="00C6503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6503D"/>
    <w:rPr>
      <w:b/>
      <w:bCs/>
    </w:rPr>
  </w:style>
  <w:style w:type="character" w:customStyle="1" w:styleId="PedmtkomenteChar">
    <w:name w:val="Předmět komentáře Char"/>
    <w:basedOn w:val="TextkomenteChar"/>
    <w:link w:val="Pedmtkomente"/>
    <w:uiPriority w:val="99"/>
    <w:semiHidden/>
    <w:rsid w:val="00C6503D"/>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C6503D"/>
    <w:rPr>
      <w:rFonts w:ascii="Tahoma" w:hAnsi="Tahoma" w:cs="Tahoma"/>
      <w:sz w:val="16"/>
      <w:szCs w:val="16"/>
    </w:rPr>
  </w:style>
  <w:style w:type="character" w:customStyle="1" w:styleId="TextbublinyChar">
    <w:name w:val="Text bubliny Char"/>
    <w:basedOn w:val="Standardnpsmoodstavce"/>
    <w:link w:val="Textbubliny"/>
    <w:uiPriority w:val="99"/>
    <w:semiHidden/>
    <w:rsid w:val="00C6503D"/>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636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8LEVCv4wxGxdu1f3Vy64Ni8gce0=</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ViQE7RQI3pCtN0dRIATU3cS7NFQ=</DigestValue>
    </Reference>
  </SignedInfo>
  <SignatureValue>i7/7S248RS0G1wOykSUkYPvpHPibWQxOf6lHRPhqN0XoQZcRd/TCQUnj07vhn79xl9K/PephQ2nB
hGxtf/yZihZbjCyhHkLaHiYmzmbdrBLl3n0uRv6wPU31xIMiS2O5+X1M4I9dTZe4+wOwaWIB5vYJ
oI6kuq3gOoKuqv1C7vMlRmEgvb4gvTX0qourupZrhBbdVdPu3sRbO/29ef7t8a2WL+6/nWcPbErX
YFRyVQGKTOL9HqTZlRhezD25gk/81dIF8rXADhPXosQktGe3pQ7oyg/+Jc9Z8YTCMPoWBoaxrp12
l7A2X+i9mOn1UjJxSDzJgF5BKNEnjqgsDdsqLg==</SignatureValue>
  <KeyInfo>
    <X509Data>
      <X509Certificate>MIIF0DCCBLigAwIBAgIEAKitKzANBgkqhkiG9w0BAQsFADCBtzELMAkGA1UEBhMCQ1oxOjA4BgNV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</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8kVEWez9T8MLoOc4pRP8RiExVtY=</DigestValue>
      </Reference>
      <Reference URI="/word/theme/theme1.xml?ContentType=application/vnd.openxmlformats-officedocument.theme+xml">
        <DigestMethod Algorithm="http://www.w3.org/2000/09/xmldsig#sha1"/>
        <DigestValue>KmUuhhfsCJy/qwJd7FevO1awH4k=</DigestValue>
      </Reference>
      <Reference URI="/word/media/image1.emf?ContentType=image/x-emf">
        <DigestMethod Algorithm="http://www.w3.org/2000/09/xmldsig#sha1"/>
        <DigestValue>Jb2GeJM/mbn6doipgXI6avTtA0k=</DigestValue>
      </Reference>
      <Reference URI="/word/media/image2.jpeg?ContentType=image/jpeg">
        <DigestMethod Algorithm="http://www.w3.org/2000/09/xmldsig#sha1"/>
        <DigestValue>26mBglIt32PwzBZpWCN+MgItRHY=</DigestValue>
      </Reference>
      <Reference URI="/word/settings.xml?ContentType=application/vnd.openxmlformats-officedocument.wordprocessingml.settings+xml">
        <DigestMethod Algorithm="http://www.w3.org/2000/09/xmldsig#sha1"/>
        <DigestValue>1TrwBnQyzHgzEsTvwPV5bJ8uOeo=</DigestValue>
      </Reference>
      <Reference URI="/word/fontTable.xml?ContentType=application/vnd.openxmlformats-officedocument.wordprocessingml.fontTable+xml">
        <DigestMethod Algorithm="http://www.w3.org/2000/09/xmldsig#sha1"/>
        <DigestValue>j8IU/YUQQks+uSs+2xtvOOBTtx4=</DigestValue>
      </Reference>
      <Reference URI="/word/webSettings.xml?ContentType=application/vnd.openxmlformats-officedocument.wordprocessingml.webSettings+xml">
        <DigestMethod Algorithm="http://www.w3.org/2000/09/xmldsig#sha1"/>
        <DigestValue>Teu1Y0Fid+Ym1PkRck44kcfOuKw=</DigestValue>
      </Reference>
      <Reference URI="/word/styles.xml?ContentType=application/vnd.openxmlformats-officedocument.wordprocessingml.styles+xml">
        <DigestMethod Algorithm="http://www.w3.org/2000/09/xmldsig#sha1"/>
        <DigestValue>OtTmadQX34uJ4z9q2Ac8FYVFs4g=</DigestValue>
      </Reference>
      <Reference URI="/word/numbering.xml?ContentType=application/vnd.openxmlformats-officedocument.wordprocessingml.numbering+xml">
        <DigestMethod Algorithm="http://www.w3.org/2000/09/xmldsig#sha1"/>
        <DigestValue>mTOlwYJBhcVM9ABDD45HFNuWLx4=</DigestValue>
      </Reference>
      <Reference URI="/word/endnotes.xml?ContentType=application/vnd.openxmlformats-officedocument.wordprocessingml.endnotes+xml">
        <DigestMethod Algorithm="http://www.w3.org/2000/09/xmldsig#sha1"/>
        <DigestValue>mCrLSY6joYNPZIbkao5QzRXiHz8=</DigestValue>
      </Reference>
      <Reference URI="/word/header1.xml?ContentType=application/vnd.openxmlformats-officedocument.wordprocessingml.header+xml">
        <DigestMethod Algorithm="http://www.w3.org/2000/09/xmldsig#sha1"/>
        <DigestValue>YzEj0xw4akXLsk1Nr2dzVCG47Kk=</DigestValue>
      </Reference>
      <Reference URI="/word/document.xml?ContentType=application/vnd.openxmlformats-officedocument.wordprocessingml.document.main+xml">
        <DigestMethod Algorithm="http://www.w3.org/2000/09/xmldsig#sha1"/>
        <DigestValue>SgOsyqD+aVYU34XDAPEDBB4c1N0=</DigestValue>
      </Reference>
      <Reference URI="/word/footnotes.xml?ContentType=application/vnd.openxmlformats-officedocument.wordprocessingml.footnotes+xml">
        <DigestMethod Algorithm="http://www.w3.org/2000/09/xmldsig#sha1"/>
        <DigestValue>JQw7oDjg7yDMa5NeeGFmEGU8BDQ=</DigestValue>
      </Reference>
      <Reference URI="/word/header2.xml?ContentType=application/vnd.openxmlformats-officedocument.wordprocessingml.header+xml">
        <DigestMethod Algorithm="http://www.w3.org/2000/09/xmldsig#sha1"/>
        <DigestValue>+YTnlJ5TXiTTWHTRjY71yGvUDTw=</DigestValue>
      </Reference>
      <Reference URI="/word/footer1.xml?ContentType=application/vnd.openxmlformats-officedocument.wordprocessingml.footer+xml">
        <DigestMethod Algorithm="http://www.w3.org/2000/09/xmldsig#sha1"/>
        <DigestValue>fK/NbukuO64oWGxPemJUTnK28Hk=</DigestValue>
      </Reference>
      <Reference URI="/word/footer2.xml?ContentType=application/vnd.openxmlformats-officedocument.wordprocessingml.footer+xml">
        <DigestMethod Algorithm="http://www.w3.org/2000/09/xmldsig#sha1"/>
        <DigestValue>3I/pUR7D+zUXQ4D9MRQvG0m+K2k=</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2"/>
            <mdssi:RelationshipReference SourceId="rId1"/>
          </Transform>
          <Transform Algorithm="http://www.w3.org/TR/2001/REC-xml-c14n-20010315"/>
        </Transforms>
        <DigestMethod Algorithm="http://www.w3.org/2000/09/xmldsig#sha1"/>
        <DigestValue>BCrI2JpNCS/AjucT9oBkoY7UXS8=</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lKuyqfI5H/zetdKI4sQSLz+vsyo=</DigestValue>
      </Reference>
    </Manifest>
    <SignatureProperties>
      <SignatureProperty Id="idSignatureTime" Target="#idPackageSignature">
        <mdssi:SignatureTime>
          <mdssi:Format>YYYY-MM-DDThh:mm:ssTZD</mdssi:Format>
          <mdssi:Value>2015-10-01T09:33:09Z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2015-10-01T09:33:09Z</xd:SigningTime>
          <xd:SigningCertificate>
            <xd:Cert>
              <xd:CertDigest>
                <DigestMethod Algorithm="http://www.w3.org/2000/09/xmldsig#sha1"/>
                <DigestValue>cxKURJ7DNdTscFj9Q/64xMQusHc=</DigestValue>
              </xd:CertDigest>
              <xd:IssuerSerial>
                <X509IssuerName>OU=I.CA - Accredited Provider of Certification Services, O="První certifikační autorita, a.s.", CN="I.CA - Qualified Certification Authority, 09/2009", C=CZ</X509IssuerName>
                <X509SerialNumber>11054379</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14</TotalTime>
  <Pages>9</Pages>
  <Words>2644</Words>
  <Characters>15600</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
    </vt:vector>
  </TitlesOfParts>
  <Company>Havel, Holásek &amp; Partners</Company>
  <LinksUpToDate>false</LinksUpToDate>
  <CharactersWithSpaces>18208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Najmanová Alena Ing. (MPSV)</dc:creator>
  <cp:lastModifiedBy>Najmanová Alena Ing. (MPSV)</cp:lastModifiedBy>
  <cp:revision>5</cp:revision>
  <cp:lastPrinted>2015-10-01T09:32:00Z</cp:lastPrinted>
  <dcterms:created xsi:type="dcterms:W3CDTF">2015-10-01T09:14:00Z</dcterms:created>
  <dcterms:modified xsi:type="dcterms:W3CDTF">2015-10-01T09:33:00Z</dcterms:modified>
</cp:coreProperties>
</file>